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2158" w14:textId="77777777" w:rsidR="001E3D2F" w:rsidRDefault="001E3D2F" w:rsidP="0009240F">
      <w:pPr>
        <w:spacing w:after="0"/>
      </w:pPr>
    </w:p>
    <w:p w14:paraId="3F42C258" w14:textId="3E4C4CDB" w:rsidR="004C630E" w:rsidRPr="004C630E" w:rsidRDefault="00694E97" w:rsidP="0039100D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Temeljem članka 28. Zakona o javnoj nabavi ("Narodne novine" br. 120/16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, 114/22</w:t>
      </w: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) 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i čl.3. Pravilnika o planu nabave, registru ugovora, prethodnom savjetovanju i analizi tržišta u javnoj nabavi (NN 101/17,144/20,30/23) 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direktor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ica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Turističke zajednice općine Nijemci dana 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2.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lipnja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godine donosi</w:t>
      </w:r>
    </w:p>
    <w:p w14:paraId="64FD02E4" w14:textId="7C58D484" w:rsidR="00694E97" w:rsidRPr="004C630E" w:rsidRDefault="004863BC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1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. IZMJENE I DOPUNE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PLAN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A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 NABAVE</w:t>
      </w:r>
    </w:p>
    <w:p w14:paraId="1E5152B2" w14:textId="73C9675C" w:rsidR="00694E97" w:rsidRPr="004C630E" w:rsidRDefault="00694E97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Turističke zajednice općine Nijemci za 202</w:t>
      </w:r>
      <w:r w:rsidR="003526F3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5</w:t>
      </w: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. godinu</w:t>
      </w:r>
    </w:p>
    <w:p w14:paraId="02BE17D5" w14:textId="77777777" w:rsidR="004C630E" w:rsidRP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</w:p>
    <w:p w14:paraId="30DE2FD6" w14:textId="5F1104D2" w:rsidR="00694E97" w:rsidRPr="004C630E" w:rsidRDefault="004863BC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1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Izmjenama i dopunama Plana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nabave TZ općine Nijemci za 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godinu planira se nabava roba i usluga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872"/>
        <w:gridCol w:w="922"/>
        <w:gridCol w:w="948"/>
        <w:gridCol w:w="681"/>
        <w:gridCol w:w="1066"/>
        <w:gridCol w:w="925"/>
        <w:gridCol w:w="923"/>
        <w:gridCol w:w="805"/>
        <w:gridCol w:w="785"/>
        <w:gridCol w:w="1012"/>
        <w:gridCol w:w="915"/>
        <w:gridCol w:w="743"/>
        <w:gridCol w:w="757"/>
        <w:gridCol w:w="756"/>
        <w:gridCol w:w="850"/>
        <w:gridCol w:w="220"/>
      </w:tblGrid>
      <w:tr w:rsidR="003526F3" w:rsidRPr="003526F3" w14:paraId="199E2A6A" w14:textId="77777777" w:rsidTr="003526F3">
        <w:trPr>
          <w:gridAfter w:val="1"/>
          <w:wAfter w:w="220" w:type="dxa"/>
          <w:trHeight w:val="450"/>
        </w:trPr>
        <w:tc>
          <w:tcPr>
            <w:tcW w:w="13774" w:type="dxa"/>
            <w:gridSpan w:val="16"/>
            <w:vMerge w:val="restart"/>
            <w:noWrap/>
            <w:hideMark/>
          </w:tcPr>
          <w:p w14:paraId="1C34333B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 NABAVE</w:t>
            </w:r>
          </w:p>
        </w:tc>
      </w:tr>
      <w:tr w:rsidR="003526F3" w:rsidRPr="003526F3" w14:paraId="39C70F75" w14:textId="77777777" w:rsidTr="003526F3">
        <w:trPr>
          <w:trHeight w:val="300"/>
        </w:trPr>
        <w:tc>
          <w:tcPr>
            <w:tcW w:w="13774" w:type="dxa"/>
            <w:gridSpan w:val="16"/>
            <w:vMerge/>
            <w:hideMark/>
          </w:tcPr>
          <w:p w14:paraId="63CDDF0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220" w:type="dxa"/>
            <w:noWrap/>
            <w:hideMark/>
          </w:tcPr>
          <w:p w14:paraId="6BF1E40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</w:tr>
      <w:tr w:rsidR="003526F3" w:rsidRPr="003526F3" w14:paraId="6540BEA6" w14:textId="77777777" w:rsidTr="003526F3">
        <w:trPr>
          <w:trHeight w:val="420"/>
        </w:trPr>
        <w:tc>
          <w:tcPr>
            <w:tcW w:w="704" w:type="dxa"/>
            <w:noWrap/>
            <w:hideMark/>
          </w:tcPr>
          <w:p w14:paraId="24A8C6A9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Naručitelj</w:t>
            </w:r>
          </w:p>
        </w:tc>
        <w:tc>
          <w:tcPr>
            <w:tcW w:w="13070" w:type="dxa"/>
            <w:gridSpan w:val="15"/>
            <w:noWrap/>
            <w:hideMark/>
          </w:tcPr>
          <w:p w14:paraId="79D9FBFC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Turistička zajednica općine Nijemci</w:t>
            </w:r>
          </w:p>
        </w:tc>
        <w:tc>
          <w:tcPr>
            <w:tcW w:w="220" w:type="dxa"/>
            <w:hideMark/>
          </w:tcPr>
          <w:p w14:paraId="3AA4F46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484327F0" w14:textId="77777777" w:rsidTr="003526F3">
        <w:trPr>
          <w:trHeight w:val="420"/>
        </w:trPr>
        <w:tc>
          <w:tcPr>
            <w:tcW w:w="704" w:type="dxa"/>
            <w:noWrap/>
            <w:hideMark/>
          </w:tcPr>
          <w:p w14:paraId="7FDEDF1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Godina</w:t>
            </w:r>
          </w:p>
        </w:tc>
        <w:tc>
          <w:tcPr>
            <w:tcW w:w="13070" w:type="dxa"/>
            <w:gridSpan w:val="15"/>
            <w:noWrap/>
            <w:hideMark/>
          </w:tcPr>
          <w:p w14:paraId="242147B4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2025</w:t>
            </w:r>
          </w:p>
        </w:tc>
        <w:tc>
          <w:tcPr>
            <w:tcW w:w="220" w:type="dxa"/>
            <w:hideMark/>
          </w:tcPr>
          <w:p w14:paraId="2BC88FD8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74B19796" w14:textId="77777777" w:rsidTr="003526F3">
        <w:trPr>
          <w:trHeight w:val="420"/>
        </w:trPr>
        <w:tc>
          <w:tcPr>
            <w:tcW w:w="704" w:type="dxa"/>
            <w:noWrap/>
            <w:hideMark/>
          </w:tcPr>
          <w:p w14:paraId="535FED3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Verzija</w:t>
            </w:r>
          </w:p>
        </w:tc>
        <w:tc>
          <w:tcPr>
            <w:tcW w:w="13070" w:type="dxa"/>
            <w:gridSpan w:val="15"/>
            <w:noWrap/>
            <w:hideMark/>
          </w:tcPr>
          <w:p w14:paraId="221B43D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220" w:type="dxa"/>
            <w:hideMark/>
          </w:tcPr>
          <w:p w14:paraId="0B05B30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523CAE18" w14:textId="77777777" w:rsidTr="003526F3">
        <w:trPr>
          <w:trHeight w:val="420"/>
        </w:trPr>
        <w:tc>
          <w:tcPr>
            <w:tcW w:w="704" w:type="dxa"/>
            <w:noWrap/>
            <w:hideMark/>
          </w:tcPr>
          <w:p w14:paraId="5C114E5A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Datum donošenja</w:t>
            </w:r>
          </w:p>
        </w:tc>
        <w:tc>
          <w:tcPr>
            <w:tcW w:w="13070" w:type="dxa"/>
            <w:gridSpan w:val="15"/>
            <w:noWrap/>
            <w:hideMark/>
          </w:tcPr>
          <w:p w14:paraId="1EF7AC1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02.06.2025</w:t>
            </w:r>
          </w:p>
        </w:tc>
        <w:tc>
          <w:tcPr>
            <w:tcW w:w="220" w:type="dxa"/>
            <w:hideMark/>
          </w:tcPr>
          <w:p w14:paraId="1E919638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315BE7F2" w14:textId="77777777" w:rsidTr="003526F3">
        <w:trPr>
          <w:trHeight w:val="983"/>
        </w:trPr>
        <w:tc>
          <w:tcPr>
            <w:tcW w:w="704" w:type="dxa"/>
            <w:noWrap/>
            <w:hideMark/>
          </w:tcPr>
          <w:p w14:paraId="7CEFC10E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Redni broj</w:t>
            </w:r>
          </w:p>
        </w:tc>
        <w:tc>
          <w:tcPr>
            <w:tcW w:w="982" w:type="dxa"/>
            <w:hideMark/>
          </w:tcPr>
          <w:p w14:paraId="14CE3D5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Evidencijski broj nabave</w:t>
            </w:r>
          </w:p>
        </w:tc>
        <w:tc>
          <w:tcPr>
            <w:tcW w:w="922" w:type="dxa"/>
            <w:noWrap/>
            <w:hideMark/>
          </w:tcPr>
          <w:p w14:paraId="4713BA79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Zakonski okvir</w:t>
            </w:r>
          </w:p>
        </w:tc>
        <w:tc>
          <w:tcPr>
            <w:tcW w:w="948" w:type="dxa"/>
            <w:hideMark/>
          </w:tcPr>
          <w:p w14:paraId="5AE5909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 javne nabave</w:t>
            </w:r>
          </w:p>
        </w:tc>
        <w:tc>
          <w:tcPr>
            <w:tcW w:w="681" w:type="dxa"/>
            <w:hideMark/>
          </w:tcPr>
          <w:p w14:paraId="33E7F7F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ugovora</w:t>
            </w:r>
          </w:p>
        </w:tc>
        <w:tc>
          <w:tcPr>
            <w:tcW w:w="1066" w:type="dxa"/>
            <w:hideMark/>
          </w:tcPr>
          <w:p w14:paraId="6521CC00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CPV</w:t>
            </w:r>
          </w:p>
        </w:tc>
        <w:tc>
          <w:tcPr>
            <w:tcW w:w="925" w:type="dxa"/>
            <w:hideMark/>
          </w:tcPr>
          <w:p w14:paraId="5C9BF81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Procijenjena vrijednost nabave (EUR)</w:t>
            </w:r>
          </w:p>
        </w:tc>
        <w:tc>
          <w:tcPr>
            <w:tcW w:w="923" w:type="dxa"/>
            <w:hideMark/>
          </w:tcPr>
          <w:p w14:paraId="668946E5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postupka</w:t>
            </w:r>
          </w:p>
        </w:tc>
        <w:tc>
          <w:tcPr>
            <w:tcW w:w="805" w:type="dxa"/>
            <w:hideMark/>
          </w:tcPr>
          <w:p w14:paraId="3B71B667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Društvene i druge posebne usluge</w:t>
            </w:r>
          </w:p>
        </w:tc>
        <w:tc>
          <w:tcPr>
            <w:tcW w:w="785" w:type="dxa"/>
            <w:hideMark/>
          </w:tcPr>
          <w:p w14:paraId="146F66E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podijeljen u grupe</w:t>
            </w:r>
          </w:p>
        </w:tc>
        <w:tc>
          <w:tcPr>
            <w:tcW w:w="1012" w:type="dxa"/>
            <w:hideMark/>
          </w:tcPr>
          <w:p w14:paraId="10CAC14C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Tehnika / Okvirni sporazum</w:t>
            </w:r>
          </w:p>
        </w:tc>
        <w:tc>
          <w:tcPr>
            <w:tcW w:w="915" w:type="dxa"/>
            <w:hideMark/>
          </w:tcPr>
          <w:p w14:paraId="4D66483E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Financiranje iz EU fondova</w:t>
            </w:r>
          </w:p>
        </w:tc>
        <w:tc>
          <w:tcPr>
            <w:tcW w:w="743" w:type="dxa"/>
            <w:hideMark/>
          </w:tcPr>
          <w:p w14:paraId="67EE3EE0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Planirani početak postupka</w:t>
            </w:r>
          </w:p>
        </w:tc>
        <w:tc>
          <w:tcPr>
            <w:tcW w:w="757" w:type="dxa"/>
            <w:hideMark/>
          </w:tcPr>
          <w:p w14:paraId="39EEF4BD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Planirano trajanje ugovora / O.S.</w:t>
            </w:r>
          </w:p>
        </w:tc>
        <w:tc>
          <w:tcPr>
            <w:tcW w:w="756" w:type="dxa"/>
            <w:hideMark/>
          </w:tcPr>
          <w:p w14:paraId="1F2FB694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Provodi drugi naručitelj</w:t>
            </w:r>
          </w:p>
        </w:tc>
        <w:tc>
          <w:tcPr>
            <w:tcW w:w="850" w:type="dxa"/>
            <w:hideMark/>
          </w:tcPr>
          <w:p w14:paraId="047BFCEC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Napomena</w:t>
            </w:r>
          </w:p>
        </w:tc>
        <w:tc>
          <w:tcPr>
            <w:tcW w:w="220" w:type="dxa"/>
            <w:hideMark/>
          </w:tcPr>
          <w:p w14:paraId="23A2A335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00EA0CDA" w14:textId="77777777" w:rsidTr="003526F3">
        <w:trPr>
          <w:trHeight w:val="600"/>
        </w:trPr>
        <w:tc>
          <w:tcPr>
            <w:tcW w:w="704" w:type="dxa"/>
            <w:noWrap/>
            <w:hideMark/>
          </w:tcPr>
          <w:p w14:paraId="2DDDF187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lastRenderedPageBreak/>
              <w:t>0001</w:t>
            </w:r>
          </w:p>
        </w:tc>
        <w:tc>
          <w:tcPr>
            <w:tcW w:w="982" w:type="dxa"/>
            <w:noWrap/>
            <w:hideMark/>
          </w:tcPr>
          <w:p w14:paraId="36878DE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EV-1/25</w:t>
            </w:r>
          </w:p>
        </w:tc>
        <w:tc>
          <w:tcPr>
            <w:tcW w:w="922" w:type="dxa"/>
            <w:noWrap/>
            <w:hideMark/>
          </w:tcPr>
          <w:p w14:paraId="095AAF4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948" w:type="dxa"/>
            <w:hideMark/>
          </w:tcPr>
          <w:p w14:paraId="77041082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Plan upravljanja destinacijom</w:t>
            </w:r>
          </w:p>
        </w:tc>
        <w:tc>
          <w:tcPr>
            <w:tcW w:w="681" w:type="dxa"/>
            <w:hideMark/>
          </w:tcPr>
          <w:p w14:paraId="71FA4ED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Usluge</w:t>
            </w:r>
          </w:p>
        </w:tc>
        <w:tc>
          <w:tcPr>
            <w:tcW w:w="1066" w:type="dxa"/>
            <w:hideMark/>
          </w:tcPr>
          <w:p w14:paraId="2AB0C6C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79131000 - Usluge dokumentacije</w:t>
            </w:r>
          </w:p>
        </w:tc>
        <w:tc>
          <w:tcPr>
            <w:tcW w:w="925" w:type="dxa"/>
            <w:noWrap/>
            <w:hideMark/>
          </w:tcPr>
          <w:p w14:paraId="5AC5E328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8.000,00</w:t>
            </w:r>
          </w:p>
        </w:tc>
        <w:tc>
          <w:tcPr>
            <w:tcW w:w="923" w:type="dxa"/>
            <w:hideMark/>
          </w:tcPr>
          <w:p w14:paraId="74A857D6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805" w:type="dxa"/>
            <w:hideMark/>
          </w:tcPr>
          <w:p w14:paraId="793E929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785" w:type="dxa"/>
            <w:hideMark/>
          </w:tcPr>
          <w:p w14:paraId="7089BF2E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1012" w:type="dxa"/>
            <w:hideMark/>
          </w:tcPr>
          <w:p w14:paraId="6F784750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915" w:type="dxa"/>
            <w:hideMark/>
          </w:tcPr>
          <w:p w14:paraId="7454AEC9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743" w:type="dxa"/>
            <w:hideMark/>
          </w:tcPr>
          <w:p w14:paraId="6FC2566B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1. kvartal</w:t>
            </w:r>
          </w:p>
        </w:tc>
        <w:tc>
          <w:tcPr>
            <w:tcW w:w="757" w:type="dxa"/>
            <w:hideMark/>
          </w:tcPr>
          <w:p w14:paraId="0D7A3B6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756" w:type="dxa"/>
            <w:hideMark/>
          </w:tcPr>
          <w:p w14:paraId="254509D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hideMark/>
          </w:tcPr>
          <w:p w14:paraId="6496BAB8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220" w:type="dxa"/>
            <w:hideMark/>
          </w:tcPr>
          <w:p w14:paraId="0586013C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3526F3" w:rsidRPr="003526F3" w14:paraId="5CD80EC1" w14:textId="77777777" w:rsidTr="003526F3">
        <w:trPr>
          <w:trHeight w:val="915"/>
        </w:trPr>
        <w:tc>
          <w:tcPr>
            <w:tcW w:w="704" w:type="dxa"/>
            <w:noWrap/>
            <w:hideMark/>
          </w:tcPr>
          <w:p w14:paraId="2DFBC78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0002</w:t>
            </w:r>
          </w:p>
        </w:tc>
        <w:tc>
          <w:tcPr>
            <w:tcW w:w="982" w:type="dxa"/>
            <w:noWrap/>
            <w:hideMark/>
          </w:tcPr>
          <w:p w14:paraId="2F2393EA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EV-2/25</w:t>
            </w:r>
          </w:p>
        </w:tc>
        <w:tc>
          <w:tcPr>
            <w:tcW w:w="922" w:type="dxa"/>
            <w:noWrap/>
            <w:hideMark/>
          </w:tcPr>
          <w:p w14:paraId="02EE4A9F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948" w:type="dxa"/>
            <w:hideMark/>
          </w:tcPr>
          <w:p w14:paraId="0AB15FFD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Oblikovanje i izrada suvenira - magneti</w:t>
            </w:r>
          </w:p>
        </w:tc>
        <w:tc>
          <w:tcPr>
            <w:tcW w:w="681" w:type="dxa"/>
            <w:hideMark/>
          </w:tcPr>
          <w:p w14:paraId="51BC1ACE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Robe</w:t>
            </w:r>
          </w:p>
        </w:tc>
        <w:tc>
          <w:tcPr>
            <w:tcW w:w="1066" w:type="dxa"/>
            <w:hideMark/>
          </w:tcPr>
          <w:p w14:paraId="385D3844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31630000 - Magneti</w:t>
            </w:r>
          </w:p>
        </w:tc>
        <w:tc>
          <w:tcPr>
            <w:tcW w:w="925" w:type="dxa"/>
            <w:noWrap/>
            <w:hideMark/>
          </w:tcPr>
          <w:p w14:paraId="6B445D12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3.000,00</w:t>
            </w:r>
          </w:p>
        </w:tc>
        <w:tc>
          <w:tcPr>
            <w:tcW w:w="923" w:type="dxa"/>
            <w:hideMark/>
          </w:tcPr>
          <w:p w14:paraId="38B3699C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805" w:type="dxa"/>
            <w:hideMark/>
          </w:tcPr>
          <w:p w14:paraId="55E7591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785" w:type="dxa"/>
            <w:hideMark/>
          </w:tcPr>
          <w:p w14:paraId="2750C16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1012" w:type="dxa"/>
            <w:hideMark/>
          </w:tcPr>
          <w:p w14:paraId="6017AF21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Okvirni sporazum s jednim gospodarskim subjektom</w:t>
            </w:r>
          </w:p>
        </w:tc>
        <w:tc>
          <w:tcPr>
            <w:tcW w:w="915" w:type="dxa"/>
            <w:hideMark/>
          </w:tcPr>
          <w:p w14:paraId="07A67FB9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743" w:type="dxa"/>
            <w:hideMark/>
          </w:tcPr>
          <w:p w14:paraId="197EA3EB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2. kvartal</w:t>
            </w:r>
          </w:p>
        </w:tc>
        <w:tc>
          <w:tcPr>
            <w:tcW w:w="757" w:type="dxa"/>
            <w:hideMark/>
          </w:tcPr>
          <w:p w14:paraId="2A631B54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756" w:type="dxa"/>
            <w:hideMark/>
          </w:tcPr>
          <w:p w14:paraId="371C3EC2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hideMark/>
          </w:tcPr>
          <w:p w14:paraId="51A058C4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3526F3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220" w:type="dxa"/>
            <w:hideMark/>
          </w:tcPr>
          <w:p w14:paraId="0F7A2B33" w14:textId="77777777" w:rsidR="003526F3" w:rsidRPr="003526F3" w:rsidRDefault="003526F3" w:rsidP="003526F3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</w:tbl>
    <w:p w14:paraId="12E6FFBF" w14:textId="77777777" w:rsid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2"/>
        <w:gridCol w:w="472"/>
      </w:tblGrid>
      <w:tr w:rsidR="00694E97" w:rsidRPr="00694E97" w14:paraId="65B2D5C2" w14:textId="77777777" w:rsidTr="00694E97">
        <w:tc>
          <w:tcPr>
            <w:tcW w:w="14004" w:type="dxa"/>
            <w:gridSpan w:val="2"/>
          </w:tcPr>
          <w:p w14:paraId="54268B17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</w:tr>
      <w:tr w:rsidR="00694E97" w:rsidRPr="00694E97" w14:paraId="24A8702B" w14:textId="77777777" w:rsidTr="00694E97">
        <w:trPr>
          <w:trHeight w:val="79"/>
        </w:trPr>
        <w:tc>
          <w:tcPr>
            <w:tcW w:w="13532" w:type="dxa"/>
          </w:tcPr>
          <w:p w14:paraId="18BF5C9B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  <w:tc>
          <w:tcPr>
            <w:tcW w:w="472" w:type="dxa"/>
          </w:tcPr>
          <w:p w14:paraId="005053B8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</w:tr>
    </w:tbl>
    <w:p w14:paraId="56543DC8" w14:textId="300C1AC1" w:rsidR="0039100D" w:rsidRPr="004C630E" w:rsidRDefault="00694E97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Ovaj Plan stupa na snagu danom donošenja.</w:t>
      </w:r>
    </w:p>
    <w:p w14:paraId="68156242" w14:textId="1DC9D6AD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>Klasa: 400-05/25-01/1</w:t>
      </w:r>
    </w:p>
    <w:p w14:paraId="2E0C0E8F" w14:textId="1CD75017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proofErr w:type="spellStart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>Urbroj</w:t>
      </w:r>
      <w:proofErr w:type="spellEnd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>: 2196-20-4/04-25/3</w:t>
      </w:r>
    </w:p>
    <w:p w14:paraId="0CD081BD" w14:textId="77777777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</w:p>
    <w:p w14:paraId="307738D1" w14:textId="2178BB3B" w:rsidR="003B1D14" w:rsidRPr="004C630E" w:rsidRDefault="009F632B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Nijemci, </w:t>
      </w:r>
      <w:r w:rsidR="003526F3">
        <w:rPr>
          <w:rFonts w:asciiTheme="majorHAnsi" w:eastAsia="Times New Roman" w:hAnsiTheme="majorHAnsi" w:cstheme="majorHAnsi"/>
          <w:kern w:val="1"/>
          <w:szCs w:val="24"/>
          <w:lang w:eastAsia="ar-SA"/>
        </w:rPr>
        <w:t>2</w:t>
      </w: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.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lipanj 202</w:t>
      </w:r>
      <w:r w:rsidR="003526F3">
        <w:rPr>
          <w:rFonts w:asciiTheme="majorHAnsi" w:eastAsia="Times New Roman" w:hAnsiTheme="majorHAnsi" w:cstheme="majorHAnsi"/>
          <w:kern w:val="1"/>
          <w:szCs w:val="24"/>
          <w:lang w:eastAsia="ar-SA"/>
        </w:rPr>
        <w:t>5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.g.</w:t>
      </w:r>
    </w:p>
    <w:p w14:paraId="4BFFF274" w14:textId="77777777" w:rsid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</w:p>
    <w:p w14:paraId="61F102FF" w14:textId="2E457F2A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Direktoric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a</w:t>
      </w:r>
    </w:p>
    <w:p w14:paraId="64B7B0DE" w14:textId="28280EAF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Turističke zajednice općine Nijemci</w:t>
      </w:r>
    </w:p>
    <w:p w14:paraId="2DC39430" w14:textId="683ECA62" w:rsidR="00BC28DC" w:rsidRPr="009A09E4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Katarina </w:t>
      </w:r>
      <w:proofErr w:type="spellStart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Šarkić</w:t>
      </w:r>
      <w:proofErr w:type="spellEnd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 </w:t>
      </w:r>
    </w:p>
    <w:sectPr w:rsidR="00BC28DC" w:rsidRPr="009A09E4" w:rsidSect="009F63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9131" w14:textId="77777777" w:rsidR="00EC3C22" w:rsidRDefault="00EC3C22" w:rsidP="00970D9B">
      <w:pPr>
        <w:spacing w:after="0" w:line="240" w:lineRule="auto"/>
      </w:pPr>
      <w:r>
        <w:separator/>
      </w:r>
    </w:p>
  </w:endnote>
  <w:endnote w:type="continuationSeparator" w:id="0">
    <w:p w14:paraId="47E41BCE" w14:textId="77777777" w:rsidR="00EC3C22" w:rsidRDefault="00EC3C22" w:rsidP="009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76A8" w14:textId="77777777" w:rsidR="00EC3C22" w:rsidRDefault="00EC3C22" w:rsidP="00970D9B">
      <w:pPr>
        <w:spacing w:after="0" w:line="240" w:lineRule="auto"/>
      </w:pPr>
      <w:r>
        <w:separator/>
      </w:r>
    </w:p>
  </w:footnote>
  <w:footnote w:type="continuationSeparator" w:id="0">
    <w:p w14:paraId="3256A1C1" w14:textId="77777777" w:rsidR="00EC3C22" w:rsidRDefault="00EC3C22" w:rsidP="0097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42EC" w14:textId="3E27EFE9" w:rsidR="00C47436" w:rsidRDefault="00C47436">
    <w:pPr>
      <w:pStyle w:val="Zaglavlje"/>
    </w:pPr>
    <w:r>
      <w:rPr>
        <w:noProof/>
      </w:rPr>
      <w:drawing>
        <wp:inline distT="0" distB="0" distL="0" distR="0" wp14:anchorId="2E640D1F" wp14:editId="103ACBD3">
          <wp:extent cx="1941597" cy="714375"/>
          <wp:effectExtent l="0" t="0" r="190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2" cy="714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2C1"/>
    <w:multiLevelType w:val="hybridMultilevel"/>
    <w:tmpl w:val="4534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BC4"/>
    <w:multiLevelType w:val="hybridMultilevel"/>
    <w:tmpl w:val="5CCA159E"/>
    <w:lvl w:ilvl="0" w:tplc="D6341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59354">
    <w:abstractNumId w:val="0"/>
  </w:num>
  <w:num w:numId="2" w16cid:durableId="46085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1"/>
    <w:rsid w:val="0004694B"/>
    <w:rsid w:val="0009240F"/>
    <w:rsid w:val="000B2BCF"/>
    <w:rsid w:val="000C0495"/>
    <w:rsid w:val="00130D9A"/>
    <w:rsid w:val="0013520D"/>
    <w:rsid w:val="001B29BC"/>
    <w:rsid w:val="001C4DCB"/>
    <w:rsid w:val="001E3D2F"/>
    <w:rsid w:val="0022335D"/>
    <w:rsid w:val="00226923"/>
    <w:rsid w:val="00315C5D"/>
    <w:rsid w:val="003526F3"/>
    <w:rsid w:val="0039100D"/>
    <w:rsid w:val="003B1D14"/>
    <w:rsid w:val="00402CC5"/>
    <w:rsid w:val="00442CD6"/>
    <w:rsid w:val="004863BC"/>
    <w:rsid w:val="004933E6"/>
    <w:rsid w:val="004C07C6"/>
    <w:rsid w:val="004C630E"/>
    <w:rsid w:val="004E3EFF"/>
    <w:rsid w:val="00503027"/>
    <w:rsid w:val="0051443E"/>
    <w:rsid w:val="00517503"/>
    <w:rsid w:val="0052599E"/>
    <w:rsid w:val="005D6B0D"/>
    <w:rsid w:val="005E3848"/>
    <w:rsid w:val="00653D87"/>
    <w:rsid w:val="00674EAE"/>
    <w:rsid w:val="00690335"/>
    <w:rsid w:val="00694E97"/>
    <w:rsid w:val="006D1CFB"/>
    <w:rsid w:val="006F6431"/>
    <w:rsid w:val="00747A8F"/>
    <w:rsid w:val="007C44B6"/>
    <w:rsid w:val="007D31B7"/>
    <w:rsid w:val="00827CD9"/>
    <w:rsid w:val="00891598"/>
    <w:rsid w:val="008A77F4"/>
    <w:rsid w:val="008A7B3F"/>
    <w:rsid w:val="008D3228"/>
    <w:rsid w:val="008E244E"/>
    <w:rsid w:val="00970D9B"/>
    <w:rsid w:val="00980120"/>
    <w:rsid w:val="00987278"/>
    <w:rsid w:val="009A09E4"/>
    <w:rsid w:val="009F632B"/>
    <w:rsid w:val="00A07688"/>
    <w:rsid w:val="00A40048"/>
    <w:rsid w:val="00A71FE3"/>
    <w:rsid w:val="00AA245B"/>
    <w:rsid w:val="00B250C2"/>
    <w:rsid w:val="00B66BB1"/>
    <w:rsid w:val="00B720AF"/>
    <w:rsid w:val="00BC28DC"/>
    <w:rsid w:val="00BE36E3"/>
    <w:rsid w:val="00C47436"/>
    <w:rsid w:val="00C81360"/>
    <w:rsid w:val="00CB564F"/>
    <w:rsid w:val="00CC390D"/>
    <w:rsid w:val="00CD05D6"/>
    <w:rsid w:val="00D01FE9"/>
    <w:rsid w:val="00D94457"/>
    <w:rsid w:val="00D97679"/>
    <w:rsid w:val="00D97EDC"/>
    <w:rsid w:val="00DC3ECB"/>
    <w:rsid w:val="00DE5F34"/>
    <w:rsid w:val="00DE7CE1"/>
    <w:rsid w:val="00E07713"/>
    <w:rsid w:val="00E6041C"/>
    <w:rsid w:val="00EC35BC"/>
    <w:rsid w:val="00EC3C22"/>
    <w:rsid w:val="00F17ACB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9FE1"/>
  <w15:chartTrackingRefBased/>
  <w15:docId w15:val="{9E82710E-9EDC-45E9-90D8-8BD4999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9159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FD129A"/>
    <w:pPr>
      <w:ind w:left="720"/>
      <w:contextualSpacing/>
    </w:pPr>
  </w:style>
  <w:style w:type="table" w:styleId="Reetkatablice">
    <w:name w:val="Table Grid"/>
    <w:basedOn w:val="Obinatablica"/>
    <w:uiPriority w:val="39"/>
    <w:rsid w:val="0040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0D9B"/>
  </w:style>
  <w:style w:type="paragraph" w:styleId="Podnoje">
    <w:name w:val="footer"/>
    <w:basedOn w:val="Normal"/>
    <w:link w:val="Podno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D9B"/>
  </w:style>
  <w:style w:type="character" w:styleId="Hiperveza">
    <w:name w:val="Hyperlink"/>
    <w:basedOn w:val="Zadanifontodlomka"/>
    <w:uiPriority w:val="99"/>
    <w:unhideWhenUsed/>
    <w:rsid w:val="00970D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Nijemci</dc:creator>
  <cp:keywords/>
  <dc:description/>
  <cp:lastModifiedBy>Turistička Zajednica Općine Nijemci</cp:lastModifiedBy>
  <cp:revision>2</cp:revision>
  <dcterms:created xsi:type="dcterms:W3CDTF">2025-06-02T12:48:00Z</dcterms:created>
  <dcterms:modified xsi:type="dcterms:W3CDTF">2025-06-02T12:48:00Z</dcterms:modified>
</cp:coreProperties>
</file>