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F0BA" w14:textId="0C2F2C0E" w:rsidR="004933E6" w:rsidRPr="00114134" w:rsidRDefault="00E47FCF" w:rsidP="00992D16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134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A625353" wp14:editId="09236FCC">
            <wp:extent cx="2864148" cy="104013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473" cy="104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9DD52" w14:textId="5D6C4A29" w:rsidR="00E47FCF" w:rsidRPr="00114134" w:rsidRDefault="00E47FCF" w:rsidP="001141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65E9A7" w14:textId="46C16E94" w:rsidR="00E47FCF" w:rsidRPr="00114134" w:rsidRDefault="00E47FCF" w:rsidP="001141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BC057A" w14:textId="192AC767" w:rsidR="00E47FCF" w:rsidRPr="00114134" w:rsidRDefault="00E47FCF" w:rsidP="001141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308918" w14:textId="359D7246" w:rsidR="00E47FCF" w:rsidRPr="00114134" w:rsidRDefault="00E47FCF" w:rsidP="001141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5BF9E" w14:textId="4D050895" w:rsidR="00E47FCF" w:rsidRPr="00114134" w:rsidRDefault="00E47FCF" w:rsidP="001141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272374" w14:textId="77777777" w:rsidR="00E47FCF" w:rsidRPr="00114134" w:rsidRDefault="00E47FCF" w:rsidP="001141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B00CFD" w14:textId="26EF02AE" w:rsidR="00E47FCF" w:rsidRPr="00114134" w:rsidRDefault="00E47FCF" w:rsidP="00992D1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A468C9A" w14:textId="19A96EA5" w:rsidR="00E47FCF" w:rsidRPr="00114134" w:rsidRDefault="00E47FCF" w:rsidP="00992D16">
      <w:pPr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114134">
        <w:rPr>
          <w:rFonts w:asciiTheme="majorHAnsi" w:hAnsiTheme="majorHAnsi" w:cstheme="majorHAnsi"/>
          <w:b/>
          <w:bCs/>
          <w:i/>
          <w:iCs/>
          <w:sz w:val="24"/>
          <w:szCs w:val="24"/>
        </w:rPr>
        <w:t>IZVJEŠĆE O IZVRŠENJU PROGRAMA RADA S FINANCIJSKIM PLANOM ZA 20</w:t>
      </w:r>
      <w:r w:rsidR="00F85ADB" w:rsidRPr="00114134">
        <w:rPr>
          <w:rFonts w:asciiTheme="majorHAnsi" w:hAnsiTheme="majorHAnsi" w:cstheme="majorHAnsi"/>
          <w:b/>
          <w:bCs/>
          <w:i/>
          <w:iCs/>
          <w:sz w:val="24"/>
          <w:szCs w:val="24"/>
        </w:rPr>
        <w:t>2</w:t>
      </w:r>
      <w:r w:rsidR="00E4119E">
        <w:rPr>
          <w:rFonts w:asciiTheme="majorHAnsi" w:hAnsiTheme="majorHAnsi" w:cstheme="majorHAnsi"/>
          <w:b/>
          <w:bCs/>
          <w:i/>
          <w:iCs/>
          <w:sz w:val="24"/>
          <w:szCs w:val="24"/>
        </w:rPr>
        <w:t>1</w:t>
      </w:r>
      <w:r w:rsidRPr="00114134">
        <w:rPr>
          <w:rFonts w:asciiTheme="majorHAnsi" w:hAnsiTheme="majorHAnsi" w:cstheme="majorHAnsi"/>
          <w:b/>
          <w:bCs/>
          <w:i/>
          <w:iCs/>
          <w:sz w:val="24"/>
          <w:szCs w:val="24"/>
        </w:rPr>
        <w:t>. GODINU.</w:t>
      </w:r>
    </w:p>
    <w:p w14:paraId="58EAADFC" w14:textId="3E218599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70F0B63" w14:textId="07348F6A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066E7CB3" w14:textId="57B2926D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8A850A9" w14:textId="6C2B6744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8258FEA" w14:textId="340EF9B9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D8EEF65" w14:textId="2F82D095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888A444" w14:textId="3D12B120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121EC19" w14:textId="5D6B3BE5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5E59E99" w14:textId="05024EB1" w:rsidR="00E47FCF" w:rsidRPr="00114134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491A08F" w14:textId="20D6C8F5" w:rsidR="00E47FCF" w:rsidRDefault="00E47FCF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6AE8298E" w14:textId="678F2285" w:rsidR="00114134" w:rsidRDefault="00114134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92C44EB" w14:textId="325CEE32" w:rsidR="00114134" w:rsidRDefault="00114134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322AD3B3" w14:textId="30084435" w:rsidR="00114134" w:rsidRDefault="00114134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82D7859" w14:textId="136ED908" w:rsidR="00114134" w:rsidRDefault="00114134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E88D48F" w14:textId="77777777" w:rsidR="00114134" w:rsidRPr="00114134" w:rsidRDefault="00114134" w:rsidP="00114134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9C99673" w14:textId="77777777" w:rsidR="00E47FCF" w:rsidRPr="00114134" w:rsidRDefault="00E47FCF" w:rsidP="00114134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p w14:paraId="2128B893" w14:textId="566B3729" w:rsidR="00E47FCF" w:rsidRPr="00114134" w:rsidRDefault="00E47FCF" w:rsidP="00114134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114134">
        <w:rPr>
          <w:rFonts w:asciiTheme="majorHAnsi" w:hAnsiTheme="majorHAnsi" w:cstheme="majorHAnsi"/>
          <w:i/>
          <w:iCs/>
          <w:sz w:val="24"/>
          <w:szCs w:val="24"/>
        </w:rPr>
        <w:t>ožujak 202</w:t>
      </w:r>
      <w:r w:rsidR="00E4119E">
        <w:rPr>
          <w:rFonts w:asciiTheme="majorHAnsi" w:hAnsiTheme="majorHAnsi" w:cstheme="majorHAnsi"/>
          <w:i/>
          <w:iCs/>
          <w:sz w:val="24"/>
          <w:szCs w:val="24"/>
        </w:rPr>
        <w:t>2</w:t>
      </w:r>
      <w:r w:rsidRPr="00114134">
        <w:rPr>
          <w:rFonts w:asciiTheme="majorHAnsi" w:hAnsiTheme="majorHAnsi" w:cstheme="majorHAnsi"/>
          <w:i/>
          <w:iCs/>
          <w:sz w:val="24"/>
          <w:szCs w:val="24"/>
        </w:rPr>
        <w:t>. godine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760768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6E45A7" w14:textId="51B29467" w:rsidR="004D20DC" w:rsidRDefault="004D20DC">
          <w:pPr>
            <w:pStyle w:val="TOCNaslov"/>
          </w:pPr>
          <w:r>
            <w:t>Sadržaj</w:t>
          </w:r>
        </w:p>
        <w:p w14:paraId="744D0287" w14:textId="4BBE6DDF" w:rsidR="000C66D0" w:rsidRDefault="004D20DC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247990" w:history="1">
            <w:r w:rsidR="000C66D0" w:rsidRPr="00720A7A">
              <w:rPr>
                <w:rStyle w:val="Hiperveza"/>
                <w:noProof/>
              </w:rPr>
              <w:t>1.</w:t>
            </w:r>
            <w:r w:rsidR="000C66D0">
              <w:rPr>
                <w:rFonts w:eastAsiaTheme="minorEastAsia"/>
                <w:noProof/>
                <w:lang w:eastAsia="hr-HR"/>
              </w:rPr>
              <w:tab/>
            </w:r>
            <w:r w:rsidR="000C66D0" w:rsidRPr="00720A7A">
              <w:rPr>
                <w:rStyle w:val="Hiperveza"/>
                <w:noProof/>
              </w:rPr>
              <w:t>UVOD</w:t>
            </w:r>
            <w:r w:rsidR="000C66D0">
              <w:rPr>
                <w:noProof/>
                <w:webHidden/>
              </w:rPr>
              <w:tab/>
            </w:r>
            <w:r w:rsidR="000C66D0">
              <w:rPr>
                <w:noProof/>
                <w:webHidden/>
              </w:rPr>
              <w:fldChar w:fldCharType="begin"/>
            </w:r>
            <w:r w:rsidR="000C66D0">
              <w:rPr>
                <w:noProof/>
                <w:webHidden/>
              </w:rPr>
              <w:instrText xml:space="preserve"> PAGEREF _Toc98247990 \h </w:instrText>
            </w:r>
            <w:r w:rsidR="000C66D0">
              <w:rPr>
                <w:noProof/>
                <w:webHidden/>
              </w:rPr>
            </w:r>
            <w:r w:rsidR="000C66D0">
              <w:rPr>
                <w:noProof/>
                <w:webHidden/>
              </w:rPr>
              <w:fldChar w:fldCharType="separate"/>
            </w:r>
            <w:r w:rsidR="000C66D0">
              <w:rPr>
                <w:noProof/>
                <w:webHidden/>
              </w:rPr>
              <w:t>3</w:t>
            </w:r>
            <w:r w:rsidR="000C66D0">
              <w:rPr>
                <w:noProof/>
                <w:webHidden/>
              </w:rPr>
              <w:fldChar w:fldCharType="end"/>
            </w:r>
          </w:hyperlink>
        </w:p>
        <w:p w14:paraId="4966F134" w14:textId="528D8387" w:rsidR="000C66D0" w:rsidRDefault="000C66D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7991" w:history="1">
            <w:r w:rsidRPr="00720A7A">
              <w:rPr>
                <w:rStyle w:val="Hiperveza"/>
                <w:noProof/>
              </w:rPr>
              <w:t>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720A7A">
              <w:rPr>
                <w:rStyle w:val="Hiperveza"/>
                <w:noProof/>
              </w:rPr>
              <w:t>RAZVOJ TURISTIČKOG PROIZVODA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_Toc98247991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0218C" w14:textId="68F4D824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7992" w:history="1">
            <w:r w:rsidRPr="00720A7A">
              <w:rPr>
                <w:rStyle w:val="Hiperveza"/>
              </w:rPr>
              <w:t>a)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Identifikacija i vrednovanje resursa te strukturiranje turističkih proizvoda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_Toc98247992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053C08A" w14:textId="7AD0FA7F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7993" w:history="1">
            <w:r w:rsidRPr="00720A7A">
              <w:rPr>
                <w:rStyle w:val="Hiperveza"/>
              </w:rPr>
              <w:t>b)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Podrška razvoju turističkih događanja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_Toc98247993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80E4F50" w14:textId="7117CA01" w:rsidR="000C66D0" w:rsidRDefault="000C66D0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7994" w:history="1">
            <w:r w:rsidRPr="00720A7A">
              <w:rPr>
                <w:rStyle w:val="Hiperveza"/>
                <w:noProof/>
              </w:rPr>
              <w:t>1. Manifestacije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_Toc98247994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5A088" w14:textId="74E40E6B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7995" w:history="1">
            <w:r w:rsidRPr="00720A7A">
              <w:rPr>
                <w:rStyle w:val="Hiperveza"/>
              </w:rPr>
              <w:t>c)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Podrška turističkoj industriji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_Toc98247995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AEC4D88" w14:textId="5754BBE4" w:rsidR="000C66D0" w:rsidRDefault="000C66D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7996" w:history="1">
            <w:r w:rsidRPr="00720A7A">
              <w:rPr>
                <w:rStyle w:val="Hiperveza"/>
                <w:noProof/>
              </w:rPr>
              <w:t>3.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720A7A">
              <w:rPr>
                <w:rStyle w:val="Hiperveza"/>
                <w:noProof/>
              </w:rPr>
              <w:t>KOMUNIKACIJA I OGLAŠAVANJE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_Toc98247996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74939" w14:textId="1E738A3D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7997" w:history="1">
            <w:r w:rsidRPr="00720A7A">
              <w:rPr>
                <w:rStyle w:val="Hiperveza"/>
              </w:rPr>
              <w:t>a)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Sajmovi, posebne prezentacije i poslovne radionice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_Toc98247997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3710259" w14:textId="5D695EEF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7998" w:history="1">
            <w:r w:rsidRPr="00720A7A">
              <w:rPr>
                <w:rStyle w:val="Hiperveza"/>
              </w:rPr>
              <w:t>b)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Suradnja s organizatorima putovanja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_Toc98247998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173E6B9" w14:textId="7C8F34A1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7999" w:history="1">
            <w:r w:rsidRPr="00720A7A">
              <w:rPr>
                <w:rStyle w:val="Hiperveza"/>
              </w:rPr>
              <w:t>c)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Kreiranje promotivnog materijala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_Toc98247999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667319C" w14:textId="4AD91BD3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8000" w:history="1">
            <w:r w:rsidRPr="00720A7A">
              <w:rPr>
                <w:rStyle w:val="Hiperveza"/>
              </w:rPr>
              <w:t>d)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Internetske stranice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_Toc98248000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FE6DE74" w14:textId="4811CC36" w:rsidR="000C66D0" w:rsidRDefault="000C66D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01" w:history="1">
            <w:r w:rsidRPr="00720A7A">
              <w:rPr>
                <w:rStyle w:val="Hiperveza"/>
                <w:noProof/>
              </w:rPr>
              <w:t>4.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720A7A">
              <w:rPr>
                <w:rStyle w:val="Hiperveza"/>
                <w:noProof/>
              </w:rPr>
              <w:t>DESTINACIJSKI MENADŽMENT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0C522" w14:textId="7A2C3DA6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8002" w:history="1">
            <w:r w:rsidRPr="00720A7A">
              <w:rPr>
                <w:rStyle w:val="Hiperveza"/>
              </w:rPr>
              <w:t>a)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Upravljanje kvalitetom u destinaciji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_Toc98248002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DC77DA4" w14:textId="2E216669" w:rsidR="000C66D0" w:rsidRDefault="000C66D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03" w:history="1">
            <w:r w:rsidRPr="00720A7A">
              <w:rPr>
                <w:rStyle w:val="Hiperveza"/>
                <w:noProof/>
              </w:rPr>
              <w:t>5.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720A7A">
              <w:rPr>
                <w:rStyle w:val="Hiperveza"/>
                <w:noProof/>
              </w:rPr>
              <w:t>ADMINISTRATIVNI POSLOVI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C0A0A" w14:textId="284BE4FF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8004" w:history="1">
            <w:r w:rsidRPr="00720A7A">
              <w:rPr>
                <w:rStyle w:val="Hiperveza"/>
              </w:rPr>
              <w:t>a)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Plaće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_Toc98248004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98A1F70" w14:textId="530DC682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8005" w:history="1">
            <w:r w:rsidRPr="00720A7A">
              <w:rPr>
                <w:rStyle w:val="Hiperveza"/>
              </w:rPr>
              <w:t>b)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Materijalni troškovi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_Toc98248005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2E4E48E" w14:textId="5D063060" w:rsidR="000C66D0" w:rsidRDefault="000C66D0">
          <w:pPr>
            <w:pStyle w:val="Sadraj2"/>
            <w:tabs>
              <w:tab w:val="left" w:pos="660"/>
            </w:tabs>
            <w:rPr>
              <w:rFonts w:eastAsiaTheme="minorEastAsia"/>
              <w:lang w:eastAsia="hr-HR"/>
            </w:rPr>
          </w:pPr>
          <w:hyperlink w:anchor="_Toc98248006" w:history="1">
            <w:r w:rsidRPr="00720A7A">
              <w:rPr>
                <w:rStyle w:val="Hiperveza"/>
              </w:rPr>
              <w:t>c)</w:t>
            </w:r>
            <w:r>
              <w:rPr>
                <w:rFonts w:eastAsiaTheme="minorEastAsia"/>
                <w:lang w:eastAsia="hr-HR"/>
              </w:rPr>
              <w:tab/>
            </w:r>
            <w:r w:rsidRPr="00720A7A">
              <w:rPr>
                <w:rStyle w:val="Hiperveza"/>
              </w:rPr>
              <w:t>Tijela TZ općine Nijemci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_Toc98248006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220DF65" w14:textId="6D31D844" w:rsidR="000C66D0" w:rsidRDefault="000C66D0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07" w:history="1">
            <w:r w:rsidRPr="00720A7A">
              <w:rPr>
                <w:rStyle w:val="Hiperveza"/>
                <w:noProof/>
              </w:rPr>
              <w:t>Skupština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70E4C" w14:textId="1370A861" w:rsidR="000C66D0" w:rsidRDefault="000C66D0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08" w:history="1">
            <w:r w:rsidRPr="00720A7A">
              <w:rPr>
                <w:rStyle w:val="Hiperveza"/>
                <w:noProof/>
              </w:rPr>
              <w:t>Turističko vijeće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C1C9A" w14:textId="451521CD" w:rsidR="000C66D0" w:rsidRDefault="000C66D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09" w:history="1">
            <w:r w:rsidRPr="00720A7A">
              <w:rPr>
                <w:rStyle w:val="Hiperveza"/>
                <w:rFonts w:eastAsia="Times New Roman"/>
                <w:noProof/>
                <w:lang w:eastAsia="hr-HR"/>
              </w:rPr>
              <w:t>6.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720A7A">
              <w:rPr>
                <w:rStyle w:val="Hiperveza"/>
                <w:rFonts w:eastAsia="Times New Roman"/>
                <w:noProof/>
                <w:lang w:eastAsia="hr-HR"/>
              </w:rPr>
              <w:t>REALIZACIJA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2131D" w14:textId="6778A2A3" w:rsidR="000C66D0" w:rsidRDefault="000C66D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10" w:history="1">
            <w:r w:rsidRPr="00720A7A">
              <w:rPr>
                <w:rStyle w:val="Hiperveza"/>
                <w:rFonts w:eastAsia="Times New Roman"/>
                <w:noProof/>
                <w:lang w:eastAsia="hr-HR"/>
              </w:rPr>
              <w:t>ZA RAZDOBLJE  01.01. - 31.12.2021.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44834" w14:textId="2FB656BF" w:rsidR="000C66D0" w:rsidRDefault="000C66D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98248011" w:history="1">
            <w:r w:rsidRPr="00720A7A">
              <w:rPr>
                <w:rStyle w:val="Hiperveza"/>
                <w:noProof/>
              </w:rPr>
              <w:t>7.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720A7A">
              <w:rPr>
                <w:rStyle w:val="Hiperveza"/>
                <w:noProof/>
              </w:rPr>
              <w:t>ZAKLJUČAK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_Toc98248011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2E79E" w14:textId="2532D8B8" w:rsidR="004D20DC" w:rsidRDefault="004D20DC">
          <w:r>
            <w:rPr>
              <w:b/>
              <w:bCs/>
            </w:rPr>
            <w:fldChar w:fldCharType="end"/>
          </w:r>
        </w:p>
      </w:sdtContent>
    </w:sdt>
    <w:p w14:paraId="17A9DCE7" w14:textId="70B1A7E7" w:rsidR="005F6B92" w:rsidRDefault="005F6B92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A8334E3" w14:textId="4690DEED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3EC50A9B" w14:textId="2834B45A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8F7A496" w14:textId="1F71B156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7ACF579" w14:textId="71521CDD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62A386D" w14:textId="4CC3AE66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A066230" w14:textId="31F18AD4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A67B41F" w14:textId="1775B938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A4F566A" w14:textId="70B2D568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7B1D9C4" w14:textId="1CFBE5BC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6A91340" w14:textId="1F542956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AC28CB9" w14:textId="77777777" w:rsidR="004D20DC" w:rsidRPr="00114134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5ABCF0D" w14:textId="149D9629" w:rsidR="00F81FDA" w:rsidRDefault="00F81FDA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C966D98" w14:textId="31F76418" w:rsidR="004D20DC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7B72B2F" w14:textId="77777777" w:rsidR="004D20DC" w:rsidRPr="00114134" w:rsidRDefault="004D20DC" w:rsidP="00114134">
      <w:pPr>
        <w:spacing w:after="0"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5A52BF8B" w14:textId="077D5DC3" w:rsidR="002A032B" w:rsidRPr="00107C1E" w:rsidRDefault="00845306" w:rsidP="004D20DC">
      <w:pPr>
        <w:pStyle w:val="Naslov1"/>
        <w:numPr>
          <w:ilvl w:val="0"/>
          <w:numId w:val="30"/>
        </w:numPr>
      </w:pPr>
      <w:bookmarkStart w:id="0" w:name="_Toc98247990"/>
      <w:r w:rsidRPr="00107C1E">
        <w:lastRenderedPageBreak/>
        <w:t>UVOD</w:t>
      </w:r>
      <w:bookmarkEnd w:id="0"/>
      <w:r w:rsidRPr="00107C1E">
        <w:t xml:space="preserve"> </w:t>
      </w:r>
    </w:p>
    <w:p w14:paraId="6C7DC92E" w14:textId="77777777" w:rsidR="00631995" w:rsidRPr="00114134" w:rsidRDefault="00631995" w:rsidP="00114134">
      <w:pPr>
        <w:pStyle w:val="Tijeloteksta"/>
        <w:rPr>
          <w:rFonts w:asciiTheme="majorHAnsi" w:hAnsiTheme="majorHAnsi" w:cstheme="majorHAnsi"/>
          <w:szCs w:val="24"/>
        </w:rPr>
      </w:pPr>
    </w:p>
    <w:p w14:paraId="3C45EC39" w14:textId="68BED190" w:rsidR="00631995" w:rsidRPr="00114134" w:rsidRDefault="00631995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114134">
        <w:rPr>
          <w:rFonts w:asciiTheme="majorHAnsi" w:hAnsiTheme="majorHAnsi" w:cstheme="majorHAnsi"/>
          <w:sz w:val="24"/>
          <w:szCs w:val="24"/>
        </w:rPr>
        <w:t>Turistička zajednica općine Nijemci u 20</w:t>
      </w:r>
      <w:r w:rsidR="005E4866" w:rsidRPr="00114134">
        <w:rPr>
          <w:rFonts w:asciiTheme="majorHAnsi" w:hAnsiTheme="majorHAnsi" w:cstheme="majorHAnsi"/>
          <w:sz w:val="24"/>
          <w:szCs w:val="24"/>
        </w:rPr>
        <w:t>2</w:t>
      </w:r>
      <w:r w:rsidR="00E4119E">
        <w:rPr>
          <w:rFonts w:asciiTheme="majorHAnsi" w:hAnsiTheme="majorHAnsi" w:cstheme="majorHAnsi"/>
          <w:sz w:val="24"/>
          <w:szCs w:val="24"/>
        </w:rPr>
        <w:t>1</w:t>
      </w:r>
      <w:r w:rsidRPr="00114134">
        <w:rPr>
          <w:rFonts w:asciiTheme="majorHAnsi" w:hAnsiTheme="majorHAnsi" w:cstheme="majorHAnsi"/>
          <w:sz w:val="24"/>
          <w:szCs w:val="24"/>
        </w:rPr>
        <w:t xml:space="preserve">. godini realizirala je osnovne programske zadatke.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Ukupni prihodi planirani su u iznosu od 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 xml:space="preserve">1.001.793,91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kn, a u razdoblju siječanj - prosinac 20</w:t>
      </w:r>
      <w:r w:rsidR="005E4866" w:rsidRPr="00114134">
        <w:rPr>
          <w:rFonts w:asciiTheme="majorHAnsi" w:hAnsiTheme="majorHAnsi" w:cstheme="majorHAnsi"/>
          <w:spacing w:val="5"/>
          <w:sz w:val="24"/>
          <w:szCs w:val="24"/>
        </w:rPr>
        <w:t>2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ostvareno je 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955.701,12 kn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što čini 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9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5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,0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4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%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ostvarenja prihoda</w:t>
      </w:r>
      <w:r w:rsidRPr="00114134">
        <w:rPr>
          <w:rFonts w:asciiTheme="majorHAnsi" w:hAnsiTheme="majorHAnsi" w:cstheme="majorHAnsi"/>
          <w:spacing w:val="-4"/>
          <w:sz w:val="24"/>
          <w:szCs w:val="24"/>
        </w:rPr>
        <w:t xml:space="preserve">. </w:t>
      </w:r>
      <w:r w:rsidRPr="00114134">
        <w:rPr>
          <w:rFonts w:asciiTheme="majorHAnsi" w:hAnsiTheme="majorHAnsi" w:cstheme="majorHAnsi"/>
          <w:bCs/>
          <w:spacing w:val="-3"/>
          <w:sz w:val="24"/>
          <w:szCs w:val="24"/>
        </w:rPr>
        <w:t xml:space="preserve">Prihodi od boravišne pristojbe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planirani su u iznosu od 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2.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0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00,00</w:t>
      </w:r>
      <w:r w:rsidRPr="00114134">
        <w:rPr>
          <w:rFonts w:asciiTheme="majorHAnsi" w:hAnsiTheme="majorHAnsi" w:cstheme="majorHAnsi"/>
          <w:spacing w:val="-3"/>
          <w:sz w:val="24"/>
          <w:szCs w:val="24"/>
        </w:rPr>
        <w:t xml:space="preserve"> kn,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a u razdoblju siječanj - prosinac 20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2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ostvareno je 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4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.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382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,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24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kuna, što čini </w:t>
      </w:r>
      <w:r w:rsidR="00E4119E">
        <w:rPr>
          <w:rFonts w:asciiTheme="majorHAnsi" w:hAnsiTheme="majorHAnsi" w:cstheme="majorHAnsi"/>
          <w:spacing w:val="5"/>
          <w:sz w:val="24"/>
          <w:szCs w:val="24"/>
        </w:rPr>
        <w:t>219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,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 xml:space="preserve">11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% izvršenja i 0,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4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6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% udjela u prihodima</w:t>
      </w:r>
      <w:r w:rsidRPr="00114134">
        <w:rPr>
          <w:rFonts w:asciiTheme="majorHAnsi" w:hAnsiTheme="majorHAnsi" w:cstheme="majorHAnsi"/>
          <w:spacing w:val="-4"/>
          <w:sz w:val="24"/>
          <w:szCs w:val="24"/>
        </w:rPr>
        <w:t>.</w:t>
      </w:r>
      <w:r w:rsidRPr="00114134">
        <w:rPr>
          <w:rFonts w:asciiTheme="majorHAnsi" w:hAnsiTheme="majorHAnsi" w:cstheme="majorHAnsi"/>
          <w:spacing w:val="-4"/>
          <w:sz w:val="24"/>
          <w:szCs w:val="24"/>
        </w:rPr>
        <w:br/>
      </w:r>
      <w:r w:rsidRPr="00114134">
        <w:rPr>
          <w:rFonts w:asciiTheme="majorHAnsi" w:hAnsiTheme="majorHAnsi" w:cstheme="majorHAnsi"/>
          <w:bCs/>
          <w:spacing w:val="-3"/>
          <w:sz w:val="24"/>
          <w:szCs w:val="24"/>
        </w:rPr>
        <w:t xml:space="preserve">Prihodi od turističke članarine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planirani su u iznosu od 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20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.000,00</w:t>
      </w:r>
      <w:r w:rsidRPr="00114134">
        <w:rPr>
          <w:rFonts w:asciiTheme="majorHAnsi" w:hAnsiTheme="majorHAnsi" w:cstheme="majorHAnsi"/>
          <w:spacing w:val="-3"/>
          <w:sz w:val="24"/>
          <w:szCs w:val="24"/>
        </w:rPr>
        <w:t xml:space="preserve">kn,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a u razdoblju siječanj - prosinac 20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2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ostvareno je 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24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.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466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,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30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kuna, što čini 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1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35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,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92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izvršenja i 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>2,</w:t>
      </w:r>
      <w:r w:rsidR="00AA4494">
        <w:rPr>
          <w:rFonts w:asciiTheme="majorHAnsi" w:hAnsiTheme="majorHAnsi" w:cstheme="majorHAnsi"/>
          <w:spacing w:val="5"/>
          <w:sz w:val="24"/>
          <w:szCs w:val="24"/>
        </w:rPr>
        <w:t>56</w:t>
      </w:r>
      <w:r w:rsidR="00602A46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% udjela u prihodima</w:t>
      </w:r>
      <w:r w:rsidRPr="00114134">
        <w:rPr>
          <w:rFonts w:asciiTheme="majorHAnsi" w:hAnsiTheme="majorHAnsi" w:cstheme="majorHAnsi"/>
          <w:spacing w:val="-4"/>
          <w:sz w:val="24"/>
          <w:szCs w:val="24"/>
        </w:rPr>
        <w:t>.</w:t>
      </w:r>
      <w:r w:rsidR="006B3A46" w:rsidRPr="00114134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bCs/>
          <w:color w:val="000000" w:themeColor="text1"/>
          <w:spacing w:val="-3"/>
          <w:sz w:val="24"/>
          <w:szCs w:val="24"/>
        </w:rPr>
        <w:t xml:space="preserve">Prihod iz proračuna Općine </w:t>
      </w:r>
      <w:r w:rsidR="006B3A46" w:rsidRPr="00114134">
        <w:rPr>
          <w:rFonts w:asciiTheme="majorHAnsi" w:hAnsiTheme="majorHAnsi" w:cstheme="majorHAnsi"/>
          <w:bCs/>
          <w:color w:val="000000" w:themeColor="text1"/>
          <w:spacing w:val="-3"/>
          <w:sz w:val="24"/>
          <w:szCs w:val="24"/>
        </w:rPr>
        <w:t xml:space="preserve">Nijemci 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planiran je u iznosu od</w:t>
      </w:r>
      <w:r w:rsidR="00602A46"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 </w:t>
      </w:r>
      <w:r w:rsidR="00A105B0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815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.</w:t>
      </w:r>
      <w:r w:rsidR="00A105B0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000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,00kn, a u </w:t>
      </w:r>
      <w:r w:rsidRPr="00114134">
        <w:rPr>
          <w:rFonts w:asciiTheme="majorHAnsi" w:hAnsiTheme="majorHAnsi" w:cstheme="majorHAnsi"/>
          <w:color w:val="000000" w:themeColor="text1"/>
          <w:spacing w:val="5"/>
          <w:sz w:val="24"/>
          <w:szCs w:val="24"/>
        </w:rPr>
        <w:t xml:space="preserve">razdoblju 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siječanj - prosinac 20</w:t>
      </w:r>
      <w:r w:rsidR="00602A46"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2</w:t>
      </w:r>
      <w:r w:rsidR="00220F27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1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. ostvareno je </w:t>
      </w:r>
      <w:r w:rsidR="00A105B0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785.280,89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 kn, što čini </w:t>
      </w:r>
      <w:r w:rsidR="00A105B0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96,35</w:t>
      </w:r>
      <w:r w:rsidR="00220F27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% izvršenja i </w:t>
      </w:r>
      <w:r w:rsidR="00A105B0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82,17</w:t>
      </w:r>
      <w:r w:rsidR="00220F27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% udjela u prihodima. Prihod od </w:t>
      </w:r>
      <w:r w:rsidR="00A105B0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sustava turističkih zajednica planiran je u iznosu od 120.651,08 kn, a u razdoblju siječanj – prosinac 2021. ostvareno je 120.651,08 kn, što čini 100 %</w:t>
      </w:r>
      <w:r w:rsidR="00954B26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 xml:space="preserve"> izvršenja i 12,62 % udjela u prihodima. Preneseni prihod iz prethodne godine je u iznosu 37.142,83 kn, a u razdoblju siječanj – prosinac 2021. ostvareno je 11.669,79 kn, što čini </w:t>
      </w:r>
      <w:r w:rsidR="0034356A">
        <w:rPr>
          <w:rFonts w:asciiTheme="majorHAnsi" w:hAnsiTheme="majorHAnsi" w:cstheme="majorHAnsi"/>
          <w:color w:val="000000" w:themeColor="text1"/>
          <w:spacing w:val="-3"/>
          <w:sz w:val="24"/>
          <w:szCs w:val="24"/>
        </w:rPr>
        <w:t>31,42% izvršenja i 1,22 % udjela u prihodima.</w:t>
      </w:r>
    </w:p>
    <w:p w14:paraId="3B8BC7A1" w14:textId="29E8CAE9" w:rsidR="00F81FDA" w:rsidRPr="00114134" w:rsidRDefault="00631995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bookmarkStart w:id="1" w:name="_Hlk98098439"/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Ukupni rashodi  planirani su u iznosu od </w:t>
      </w:r>
      <w:r w:rsidR="0034356A">
        <w:rPr>
          <w:rFonts w:asciiTheme="majorHAnsi" w:hAnsiTheme="majorHAnsi" w:cstheme="majorHAnsi"/>
          <w:spacing w:val="5"/>
          <w:sz w:val="24"/>
          <w:szCs w:val="24"/>
        </w:rPr>
        <w:t xml:space="preserve">1.001.793,91 </w:t>
      </w:r>
      <w:r w:rsidR="00A87791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kn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, a u razdoblju siječanj - prosinac 20</w:t>
      </w:r>
      <w:r w:rsidR="00A87791" w:rsidRPr="00114134">
        <w:rPr>
          <w:rFonts w:asciiTheme="majorHAnsi" w:hAnsiTheme="majorHAnsi" w:cstheme="majorHAnsi"/>
          <w:spacing w:val="5"/>
          <w:sz w:val="24"/>
          <w:szCs w:val="24"/>
        </w:rPr>
        <w:t>2</w:t>
      </w:r>
      <w:r w:rsidR="0034356A">
        <w:rPr>
          <w:rFonts w:asciiTheme="majorHAnsi" w:hAnsiTheme="majorHAnsi" w:cstheme="majorHAnsi"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ostvareno je </w:t>
      </w:r>
      <w:r w:rsidR="0034356A">
        <w:rPr>
          <w:rFonts w:asciiTheme="majorHAnsi" w:hAnsiTheme="majorHAnsi" w:cstheme="majorHAnsi"/>
          <w:spacing w:val="5"/>
          <w:sz w:val="24"/>
          <w:szCs w:val="24"/>
        </w:rPr>
        <w:t xml:space="preserve">955.701,12 </w:t>
      </w:r>
      <w:r w:rsidR="00A87791" w:rsidRPr="00114134">
        <w:rPr>
          <w:rFonts w:asciiTheme="majorHAnsi" w:hAnsiTheme="majorHAnsi" w:cstheme="majorHAnsi"/>
          <w:spacing w:val="5"/>
          <w:sz w:val="24"/>
          <w:szCs w:val="24"/>
        </w:rPr>
        <w:t>kn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, što čini </w:t>
      </w:r>
      <w:r w:rsidR="00D366B9" w:rsidRPr="00114134">
        <w:rPr>
          <w:rFonts w:asciiTheme="majorHAnsi" w:hAnsiTheme="majorHAnsi" w:cstheme="majorHAnsi"/>
          <w:spacing w:val="5"/>
          <w:sz w:val="24"/>
          <w:szCs w:val="24"/>
        </w:rPr>
        <w:t>9</w:t>
      </w:r>
      <w:r w:rsidR="0034356A">
        <w:rPr>
          <w:rFonts w:asciiTheme="majorHAnsi" w:hAnsiTheme="majorHAnsi" w:cstheme="majorHAnsi"/>
          <w:spacing w:val="5"/>
          <w:sz w:val="24"/>
          <w:szCs w:val="24"/>
        </w:rPr>
        <w:t>5</w:t>
      </w:r>
      <w:r w:rsidR="00D366B9" w:rsidRPr="00114134">
        <w:rPr>
          <w:rFonts w:asciiTheme="majorHAnsi" w:hAnsiTheme="majorHAnsi" w:cstheme="majorHAnsi"/>
          <w:spacing w:val="5"/>
          <w:sz w:val="24"/>
          <w:szCs w:val="24"/>
        </w:rPr>
        <w:t>,</w:t>
      </w:r>
      <w:r w:rsidR="0034356A">
        <w:rPr>
          <w:rFonts w:asciiTheme="majorHAnsi" w:hAnsiTheme="majorHAnsi" w:cstheme="majorHAnsi"/>
          <w:spacing w:val="5"/>
          <w:sz w:val="24"/>
          <w:szCs w:val="24"/>
        </w:rPr>
        <w:t xml:space="preserve">40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% izvršenja planiranih rashoda.</w:t>
      </w:r>
      <w:r w:rsidR="00992301">
        <w:rPr>
          <w:rFonts w:asciiTheme="majorHAnsi" w:hAnsiTheme="majorHAnsi" w:cstheme="majorHAnsi"/>
          <w:spacing w:val="5"/>
          <w:sz w:val="24"/>
          <w:szCs w:val="24"/>
        </w:rPr>
        <w:t xml:space="preserve"> Sredstva za razvoj turističkog proizvoda planiran</w:t>
      </w:r>
      <w:r w:rsidR="00384E59">
        <w:rPr>
          <w:rFonts w:asciiTheme="majorHAnsi" w:hAnsiTheme="majorHAnsi" w:cstheme="majorHAnsi"/>
          <w:spacing w:val="5"/>
          <w:sz w:val="24"/>
          <w:szCs w:val="24"/>
        </w:rPr>
        <w:t>a</w:t>
      </w:r>
      <w:r w:rsidR="00992301">
        <w:rPr>
          <w:rFonts w:asciiTheme="majorHAnsi" w:hAnsiTheme="majorHAnsi" w:cstheme="majorHAnsi"/>
          <w:spacing w:val="5"/>
          <w:sz w:val="24"/>
          <w:szCs w:val="24"/>
        </w:rPr>
        <w:t xml:space="preserve"> su i iznosu od 427.193,91 kn, a u razdoblju siječanj – prosinac 2021. ostvareno je 393.086,13 kn što čini 92,02 % izvršenja te 41,13 % udjela u ukupnim rashodima. Sredstva za komunikaciju i oglašavanje planiran</w:t>
      </w:r>
      <w:r w:rsidR="00384E59">
        <w:rPr>
          <w:rFonts w:asciiTheme="majorHAnsi" w:hAnsiTheme="majorHAnsi" w:cstheme="majorHAnsi"/>
          <w:spacing w:val="5"/>
          <w:sz w:val="24"/>
          <w:szCs w:val="24"/>
        </w:rPr>
        <w:t>a</w:t>
      </w:r>
      <w:r w:rsidR="00992301">
        <w:rPr>
          <w:rFonts w:asciiTheme="majorHAnsi" w:hAnsiTheme="majorHAnsi" w:cstheme="majorHAnsi"/>
          <w:spacing w:val="5"/>
          <w:sz w:val="24"/>
          <w:szCs w:val="24"/>
        </w:rPr>
        <w:t xml:space="preserve"> su u iznosu od 64.000,00 kn</w:t>
      </w:r>
      <w:r w:rsidR="006B2A18">
        <w:rPr>
          <w:rFonts w:asciiTheme="majorHAnsi" w:hAnsiTheme="majorHAnsi" w:cstheme="majorHAnsi"/>
          <w:spacing w:val="5"/>
          <w:sz w:val="24"/>
          <w:szCs w:val="24"/>
        </w:rPr>
        <w:t>, a u razdoblju od siječnja – prosinac 2021. ostvareno je 59.834,61 kn</w:t>
      </w:r>
      <w:r w:rsidR="00992301">
        <w:rPr>
          <w:rFonts w:asciiTheme="majorHAnsi" w:hAnsiTheme="majorHAnsi" w:cstheme="majorHAnsi"/>
          <w:spacing w:val="5"/>
          <w:sz w:val="24"/>
          <w:szCs w:val="24"/>
        </w:rPr>
        <w:t xml:space="preserve"> što čini 93,49 % izvršenja te 6,26 </w:t>
      </w:r>
      <w:r w:rsidR="006B2A18">
        <w:rPr>
          <w:rFonts w:asciiTheme="majorHAnsi" w:hAnsiTheme="majorHAnsi" w:cstheme="majorHAnsi"/>
          <w:spacing w:val="5"/>
          <w:sz w:val="24"/>
          <w:szCs w:val="24"/>
        </w:rPr>
        <w:t xml:space="preserve">% udjela u ukupnim rashodima. Sredstva za destinacijski menadžment planirana su u iznosu od 60.500,00 kn, a u razdoblju siječanj – prosinac 2021. ostvareno je 60.422,00 kn što čini 99,87 % izvršenja te 6,32 % udjela u ukupnim rashodima. Sredstva za administrativne poslove planirana su u iznosu </w:t>
      </w:r>
      <w:r w:rsidR="00384E59">
        <w:rPr>
          <w:rFonts w:asciiTheme="majorHAnsi" w:hAnsiTheme="majorHAnsi" w:cstheme="majorHAnsi"/>
          <w:spacing w:val="5"/>
          <w:sz w:val="24"/>
          <w:szCs w:val="24"/>
        </w:rPr>
        <w:t xml:space="preserve">450.100,00 kn, a u razdoblju siječanj – prosinac 2021. ostvareno je 442.358,38 kn što čini 98,28 % izvršenja te 46,29 % udjela u ukupnim rashodima, od toga za plaće su planirana sredstva u iznosu od 343.000,00 kn, a u razdoblju siječanj – prosinac 2021. ostvareno je 341.744,32 kn što čini 99,63 % </w:t>
      </w:r>
      <w:r w:rsidR="008D25A7">
        <w:rPr>
          <w:rFonts w:asciiTheme="majorHAnsi" w:hAnsiTheme="majorHAnsi" w:cstheme="majorHAnsi"/>
          <w:spacing w:val="5"/>
          <w:sz w:val="24"/>
          <w:szCs w:val="24"/>
        </w:rPr>
        <w:t>izvršenja</w:t>
      </w:r>
      <w:r w:rsidR="00384E59">
        <w:rPr>
          <w:rFonts w:asciiTheme="majorHAnsi" w:hAnsiTheme="majorHAnsi" w:cstheme="majorHAnsi"/>
          <w:spacing w:val="5"/>
          <w:sz w:val="24"/>
          <w:szCs w:val="24"/>
        </w:rPr>
        <w:t xml:space="preserve"> te 35,76 %</w:t>
      </w:r>
      <w:r w:rsidR="008D25A7">
        <w:rPr>
          <w:rFonts w:asciiTheme="majorHAnsi" w:hAnsiTheme="majorHAnsi" w:cstheme="majorHAnsi"/>
          <w:spacing w:val="5"/>
          <w:sz w:val="24"/>
          <w:szCs w:val="24"/>
        </w:rPr>
        <w:t xml:space="preserve"> udjela u ukupnim rashodima. Sredstva za materijalne troškove planirana su iznosu od 106.000,00 kn, a u razdoblju siječanj – prosinac 2021. ostvareno je 99.514,06 kn što čini 93,88 % izvršenja te 10,41 % udjela u ukupnim rashodima. Sredstva za tijela turističke zajednice planirana su u iznosu od 1.100,00 kn, a u razdoblju siječanj – prosinac 2021. ostvareno je 1.100,00 kn što čini 100 % izvršenja te </w:t>
      </w:r>
      <w:r w:rsidR="006B2A18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977B0F">
        <w:rPr>
          <w:rFonts w:asciiTheme="majorHAnsi" w:hAnsiTheme="majorHAnsi" w:cstheme="majorHAnsi"/>
          <w:spacing w:val="5"/>
          <w:sz w:val="24"/>
          <w:szCs w:val="24"/>
        </w:rPr>
        <w:t>0,12 % udjela u ukupnim rashodima.</w:t>
      </w:r>
      <w:r w:rsidR="00992301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</w:p>
    <w:bookmarkEnd w:id="1"/>
    <w:p w14:paraId="5E269204" w14:textId="77777777" w:rsidR="00F81FDA" w:rsidRPr="00114134" w:rsidRDefault="00F81FDA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</w:p>
    <w:p w14:paraId="5D8FF095" w14:textId="41E7FDBF" w:rsidR="00E31A5D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OSTVAREN BROJ DOLAZAKA I NOĆENJA U 20</w:t>
      </w:r>
      <w:r w:rsidR="00817F5E"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2</w:t>
      </w:r>
      <w:r w:rsidR="00F93ED5">
        <w:rPr>
          <w:rFonts w:asciiTheme="majorHAnsi" w:hAnsiTheme="majorHAnsi" w:cstheme="majorHAnsi"/>
          <w:b/>
          <w:bCs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. GODIN</w:t>
      </w:r>
      <w:r w:rsidR="00F93ED5">
        <w:rPr>
          <w:rFonts w:asciiTheme="majorHAnsi" w:hAnsiTheme="majorHAnsi" w:cstheme="majorHAnsi"/>
          <w:b/>
          <w:bCs/>
          <w:spacing w:val="5"/>
          <w:sz w:val="24"/>
          <w:szCs w:val="24"/>
        </w:rPr>
        <w:t>I</w:t>
      </w:r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.</w:t>
      </w:r>
    </w:p>
    <w:p w14:paraId="47C97B25" w14:textId="17862165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spacing w:val="5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3"/>
        <w:gridCol w:w="1002"/>
        <w:gridCol w:w="1124"/>
        <w:gridCol w:w="1021"/>
        <w:gridCol w:w="1289"/>
        <w:gridCol w:w="1139"/>
        <w:gridCol w:w="1308"/>
        <w:gridCol w:w="1096"/>
      </w:tblGrid>
      <w:tr w:rsidR="00817F5E" w:rsidRPr="00114134" w14:paraId="63258144" w14:textId="77777777" w:rsidTr="00817F5E">
        <w:trPr>
          <w:trHeight w:val="267"/>
        </w:trPr>
        <w:tc>
          <w:tcPr>
            <w:tcW w:w="1083" w:type="dxa"/>
            <w:noWrap/>
            <w:hideMark/>
          </w:tcPr>
          <w:p w14:paraId="39428C99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Vrsta turista</w:t>
            </w:r>
          </w:p>
        </w:tc>
        <w:tc>
          <w:tcPr>
            <w:tcW w:w="1002" w:type="dxa"/>
            <w:noWrap/>
            <w:hideMark/>
          </w:tcPr>
          <w:p w14:paraId="4918AE23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Dolasci</w:t>
            </w:r>
          </w:p>
        </w:tc>
        <w:tc>
          <w:tcPr>
            <w:tcW w:w="1124" w:type="dxa"/>
            <w:noWrap/>
            <w:hideMark/>
          </w:tcPr>
          <w:p w14:paraId="52DD4569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Noćenja</w:t>
            </w:r>
          </w:p>
        </w:tc>
        <w:tc>
          <w:tcPr>
            <w:tcW w:w="1021" w:type="dxa"/>
            <w:noWrap/>
            <w:hideMark/>
          </w:tcPr>
          <w:p w14:paraId="0DBCBF0A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Broj turista</w:t>
            </w:r>
          </w:p>
        </w:tc>
        <w:tc>
          <w:tcPr>
            <w:tcW w:w="1289" w:type="dxa"/>
            <w:noWrap/>
            <w:hideMark/>
          </w:tcPr>
          <w:p w14:paraId="1CF999B5" w14:textId="77777777" w:rsidR="00817F5E" w:rsidRPr="003E39D3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3E39D3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Prosječno trajanje boravka (u danima)</w:t>
            </w:r>
          </w:p>
        </w:tc>
        <w:tc>
          <w:tcPr>
            <w:tcW w:w="1139" w:type="dxa"/>
            <w:noWrap/>
            <w:hideMark/>
          </w:tcPr>
          <w:p w14:paraId="2E8A7BA3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Udio dolasci</w:t>
            </w:r>
          </w:p>
        </w:tc>
        <w:tc>
          <w:tcPr>
            <w:tcW w:w="1308" w:type="dxa"/>
            <w:noWrap/>
            <w:hideMark/>
          </w:tcPr>
          <w:p w14:paraId="11B5EF9D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Udio noćenja</w:t>
            </w:r>
          </w:p>
        </w:tc>
        <w:tc>
          <w:tcPr>
            <w:tcW w:w="1096" w:type="dxa"/>
            <w:noWrap/>
            <w:hideMark/>
          </w:tcPr>
          <w:p w14:paraId="0BB613E2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Udio broj turista</w:t>
            </w:r>
          </w:p>
        </w:tc>
      </w:tr>
      <w:tr w:rsidR="00817F5E" w:rsidRPr="00114134" w14:paraId="2B693463" w14:textId="77777777" w:rsidTr="00817F5E">
        <w:trPr>
          <w:trHeight w:val="255"/>
        </w:trPr>
        <w:tc>
          <w:tcPr>
            <w:tcW w:w="1083" w:type="dxa"/>
            <w:noWrap/>
            <w:hideMark/>
          </w:tcPr>
          <w:p w14:paraId="30DD0870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Domaći</w:t>
            </w:r>
          </w:p>
        </w:tc>
        <w:tc>
          <w:tcPr>
            <w:tcW w:w="1002" w:type="dxa"/>
            <w:noWrap/>
            <w:hideMark/>
          </w:tcPr>
          <w:p w14:paraId="2A997865" w14:textId="4F9EC0BC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281</w:t>
            </w:r>
          </w:p>
        </w:tc>
        <w:tc>
          <w:tcPr>
            <w:tcW w:w="1124" w:type="dxa"/>
            <w:noWrap/>
            <w:hideMark/>
          </w:tcPr>
          <w:p w14:paraId="5CAC8E03" w14:textId="3D147DCF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850</w:t>
            </w:r>
          </w:p>
        </w:tc>
        <w:tc>
          <w:tcPr>
            <w:tcW w:w="1021" w:type="dxa"/>
            <w:noWrap/>
            <w:hideMark/>
          </w:tcPr>
          <w:p w14:paraId="62D0E254" w14:textId="74DC67E4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281</w:t>
            </w:r>
          </w:p>
        </w:tc>
        <w:tc>
          <w:tcPr>
            <w:tcW w:w="1289" w:type="dxa"/>
            <w:noWrap/>
            <w:hideMark/>
          </w:tcPr>
          <w:p w14:paraId="0287972C" w14:textId="4012CE95" w:rsidR="00817F5E" w:rsidRPr="003E39D3" w:rsidRDefault="003E39D3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3E39D3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3,02</w:t>
            </w:r>
          </w:p>
        </w:tc>
        <w:tc>
          <w:tcPr>
            <w:tcW w:w="1139" w:type="dxa"/>
            <w:noWrap/>
            <w:hideMark/>
          </w:tcPr>
          <w:p w14:paraId="26BF209E" w14:textId="31B069E4" w:rsidR="00817F5E" w:rsidRPr="00114134" w:rsidRDefault="002C177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 xml:space="preserve">54,35 </w:t>
            </w:r>
            <w:r w:rsidR="00817F5E"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%</w:t>
            </w:r>
          </w:p>
        </w:tc>
        <w:tc>
          <w:tcPr>
            <w:tcW w:w="1308" w:type="dxa"/>
            <w:noWrap/>
            <w:hideMark/>
          </w:tcPr>
          <w:p w14:paraId="0D5318A2" w14:textId="6FBCB382" w:rsidR="00817F5E" w:rsidRPr="00114134" w:rsidRDefault="002C177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 xml:space="preserve">66,15 </w:t>
            </w:r>
            <w:r w:rsidR="00817F5E"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%</w:t>
            </w:r>
          </w:p>
        </w:tc>
        <w:tc>
          <w:tcPr>
            <w:tcW w:w="1096" w:type="dxa"/>
            <w:noWrap/>
            <w:hideMark/>
          </w:tcPr>
          <w:p w14:paraId="47E4B10E" w14:textId="522B287C" w:rsidR="00817F5E" w:rsidRPr="00114134" w:rsidRDefault="002C177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 xml:space="preserve">54,35 </w:t>
            </w:r>
            <w:r w:rsidR="00817F5E"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%</w:t>
            </w:r>
          </w:p>
        </w:tc>
      </w:tr>
      <w:tr w:rsidR="00817F5E" w:rsidRPr="00114134" w14:paraId="3D44E236" w14:textId="77777777" w:rsidTr="00817F5E">
        <w:trPr>
          <w:trHeight w:val="255"/>
        </w:trPr>
        <w:tc>
          <w:tcPr>
            <w:tcW w:w="1083" w:type="dxa"/>
            <w:noWrap/>
            <w:hideMark/>
          </w:tcPr>
          <w:p w14:paraId="7E0B8CAF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Strani</w:t>
            </w:r>
          </w:p>
        </w:tc>
        <w:tc>
          <w:tcPr>
            <w:tcW w:w="1002" w:type="dxa"/>
            <w:noWrap/>
            <w:hideMark/>
          </w:tcPr>
          <w:p w14:paraId="1C2103CC" w14:textId="2C62881E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236</w:t>
            </w:r>
          </w:p>
        </w:tc>
        <w:tc>
          <w:tcPr>
            <w:tcW w:w="1124" w:type="dxa"/>
            <w:noWrap/>
            <w:hideMark/>
          </w:tcPr>
          <w:p w14:paraId="399B6414" w14:textId="2C072A63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435</w:t>
            </w:r>
          </w:p>
        </w:tc>
        <w:tc>
          <w:tcPr>
            <w:tcW w:w="1021" w:type="dxa"/>
            <w:noWrap/>
            <w:hideMark/>
          </w:tcPr>
          <w:p w14:paraId="195B2B3C" w14:textId="13BC781C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236</w:t>
            </w:r>
          </w:p>
        </w:tc>
        <w:tc>
          <w:tcPr>
            <w:tcW w:w="1289" w:type="dxa"/>
            <w:noWrap/>
            <w:hideMark/>
          </w:tcPr>
          <w:p w14:paraId="599659B6" w14:textId="11983D3F" w:rsidR="00817F5E" w:rsidRPr="003E39D3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3E39D3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1,8</w:t>
            </w:r>
            <w:r w:rsidR="003E39D3" w:rsidRPr="003E39D3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4</w:t>
            </w:r>
          </w:p>
        </w:tc>
        <w:tc>
          <w:tcPr>
            <w:tcW w:w="1139" w:type="dxa"/>
            <w:noWrap/>
            <w:hideMark/>
          </w:tcPr>
          <w:p w14:paraId="77FC8ECE" w14:textId="6BAEB433" w:rsidR="00817F5E" w:rsidRPr="00114134" w:rsidRDefault="002C177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45,65 %</w:t>
            </w:r>
          </w:p>
        </w:tc>
        <w:tc>
          <w:tcPr>
            <w:tcW w:w="1308" w:type="dxa"/>
            <w:noWrap/>
            <w:hideMark/>
          </w:tcPr>
          <w:p w14:paraId="2EFF600F" w14:textId="106EDEC0" w:rsidR="00817F5E" w:rsidRPr="00114134" w:rsidRDefault="002C177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 xml:space="preserve">33,85 </w:t>
            </w:r>
            <w:r w:rsidR="00817F5E"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%</w:t>
            </w:r>
          </w:p>
        </w:tc>
        <w:tc>
          <w:tcPr>
            <w:tcW w:w="1096" w:type="dxa"/>
            <w:noWrap/>
            <w:hideMark/>
          </w:tcPr>
          <w:p w14:paraId="1614F698" w14:textId="3511F0E8" w:rsidR="00817F5E" w:rsidRPr="00114134" w:rsidRDefault="002C177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 xml:space="preserve">45,65 </w:t>
            </w:r>
            <w:r w:rsidR="00817F5E"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%</w:t>
            </w:r>
          </w:p>
        </w:tc>
      </w:tr>
      <w:tr w:rsidR="00817F5E" w:rsidRPr="00114134" w14:paraId="3A9643F8" w14:textId="77777777" w:rsidTr="00817F5E">
        <w:trPr>
          <w:trHeight w:val="70"/>
        </w:trPr>
        <w:tc>
          <w:tcPr>
            <w:tcW w:w="1083" w:type="dxa"/>
            <w:noWrap/>
            <w:hideMark/>
          </w:tcPr>
          <w:p w14:paraId="16A705EA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002" w:type="dxa"/>
            <w:noWrap/>
            <w:hideMark/>
          </w:tcPr>
          <w:p w14:paraId="209AA2C0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124" w:type="dxa"/>
            <w:noWrap/>
            <w:hideMark/>
          </w:tcPr>
          <w:p w14:paraId="676250D3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021" w:type="dxa"/>
            <w:noWrap/>
            <w:hideMark/>
          </w:tcPr>
          <w:p w14:paraId="41C3ADE1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289" w:type="dxa"/>
            <w:noWrap/>
            <w:hideMark/>
          </w:tcPr>
          <w:p w14:paraId="0AF27AEA" w14:textId="77777777" w:rsidR="00817F5E" w:rsidRPr="003E39D3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139" w:type="dxa"/>
            <w:noWrap/>
            <w:hideMark/>
          </w:tcPr>
          <w:p w14:paraId="1362253F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308" w:type="dxa"/>
            <w:noWrap/>
            <w:hideMark/>
          </w:tcPr>
          <w:p w14:paraId="373BAB3E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096" w:type="dxa"/>
            <w:noWrap/>
            <w:hideMark/>
          </w:tcPr>
          <w:p w14:paraId="07253CB3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</w:p>
        </w:tc>
      </w:tr>
      <w:tr w:rsidR="00817F5E" w:rsidRPr="00114134" w14:paraId="09DEF8AE" w14:textId="77777777" w:rsidTr="00817F5E">
        <w:trPr>
          <w:trHeight w:val="255"/>
        </w:trPr>
        <w:tc>
          <w:tcPr>
            <w:tcW w:w="1083" w:type="dxa"/>
            <w:noWrap/>
            <w:hideMark/>
          </w:tcPr>
          <w:p w14:paraId="31BA49A0" w14:textId="3344E960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Ukupno</w:t>
            </w:r>
          </w:p>
        </w:tc>
        <w:tc>
          <w:tcPr>
            <w:tcW w:w="1002" w:type="dxa"/>
            <w:noWrap/>
            <w:hideMark/>
          </w:tcPr>
          <w:p w14:paraId="52A7525F" w14:textId="6FFEA477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517</w:t>
            </w:r>
          </w:p>
        </w:tc>
        <w:tc>
          <w:tcPr>
            <w:tcW w:w="1124" w:type="dxa"/>
            <w:noWrap/>
            <w:hideMark/>
          </w:tcPr>
          <w:p w14:paraId="780FD8C8" w14:textId="7A20D61C" w:rsidR="00817F5E" w:rsidRPr="00114134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1.285</w:t>
            </w:r>
          </w:p>
        </w:tc>
        <w:tc>
          <w:tcPr>
            <w:tcW w:w="1021" w:type="dxa"/>
            <w:noWrap/>
            <w:hideMark/>
          </w:tcPr>
          <w:p w14:paraId="12FC5B6F" w14:textId="2AC7C120" w:rsidR="00817F5E" w:rsidRPr="002C177E" w:rsidRDefault="00CA511C" w:rsidP="00114134">
            <w:pPr>
              <w:jc w:val="both"/>
              <w:rPr>
                <w:rFonts w:asciiTheme="majorHAnsi" w:hAnsiTheme="majorHAnsi" w:cstheme="majorHAnsi"/>
                <w:b/>
                <w:bCs/>
                <w:color w:val="FF0000"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517</w:t>
            </w:r>
          </w:p>
        </w:tc>
        <w:tc>
          <w:tcPr>
            <w:tcW w:w="1289" w:type="dxa"/>
            <w:noWrap/>
            <w:hideMark/>
          </w:tcPr>
          <w:p w14:paraId="764C5EA7" w14:textId="301A9654" w:rsidR="00817F5E" w:rsidRPr="003E39D3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3E39D3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2,</w:t>
            </w:r>
            <w:r w:rsidR="003E39D3" w:rsidRPr="003E39D3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49</w:t>
            </w:r>
          </w:p>
        </w:tc>
        <w:tc>
          <w:tcPr>
            <w:tcW w:w="1139" w:type="dxa"/>
            <w:noWrap/>
            <w:hideMark/>
          </w:tcPr>
          <w:p w14:paraId="6AD828BF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100,00%</w:t>
            </w:r>
          </w:p>
        </w:tc>
        <w:tc>
          <w:tcPr>
            <w:tcW w:w="1308" w:type="dxa"/>
            <w:noWrap/>
            <w:hideMark/>
          </w:tcPr>
          <w:p w14:paraId="01A01FCD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100,00%</w:t>
            </w:r>
          </w:p>
        </w:tc>
        <w:tc>
          <w:tcPr>
            <w:tcW w:w="1096" w:type="dxa"/>
            <w:noWrap/>
            <w:hideMark/>
          </w:tcPr>
          <w:p w14:paraId="76F0AB0D" w14:textId="77777777" w:rsidR="00817F5E" w:rsidRPr="00114134" w:rsidRDefault="00817F5E" w:rsidP="00114134">
            <w:pPr>
              <w:jc w:val="both"/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</w:pPr>
            <w:r w:rsidRPr="00114134">
              <w:rPr>
                <w:rFonts w:asciiTheme="majorHAnsi" w:hAnsiTheme="majorHAnsi" w:cstheme="majorHAnsi"/>
                <w:b/>
                <w:bCs/>
                <w:spacing w:val="5"/>
                <w:sz w:val="24"/>
                <w:szCs w:val="24"/>
              </w:rPr>
              <w:t>100,00%</w:t>
            </w:r>
          </w:p>
        </w:tc>
      </w:tr>
    </w:tbl>
    <w:p w14:paraId="5B5A8BB6" w14:textId="4934C84B" w:rsidR="003A0FCB" w:rsidRPr="00114134" w:rsidRDefault="00817F5E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Izvor: e-</w:t>
      </w:r>
      <w:proofErr w:type="spellStart"/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Visitor</w:t>
      </w:r>
      <w:proofErr w:type="spellEnd"/>
    </w:p>
    <w:p w14:paraId="3853A94D" w14:textId="09BBA0AE" w:rsidR="003A0FCB" w:rsidRPr="00114134" w:rsidRDefault="00F32384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color w:val="FF0000"/>
          <w:spacing w:val="5"/>
          <w:sz w:val="24"/>
          <w:szCs w:val="24"/>
        </w:rPr>
        <w:lastRenderedPageBreak/>
        <w:drawing>
          <wp:inline distT="0" distB="0" distL="0" distR="0" wp14:anchorId="7E0FE26A" wp14:editId="72AFDAEF">
            <wp:extent cx="5486400" cy="320040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FE530D" w14:textId="7750D5C3" w:rsidR="003A0FCB" w:rsidRPr="00114134" w:rsidRDefault="003A0FCB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732581B0" w14:textId="77777777" w:rsidR="003A0FCB" w:rsidRPr="00114134" w:rsidRDefault="003A0FCB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4375E500" w14:textId="4E8E2FE1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</w:p>
    <w:p w14:paraId="3FCF9FB5" w14:textId="79011CC9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OSTVAREN BROJ DOLAZAKA I NOĆENJA PO DRŽAVAMA</w:t>
      </w:r>
      <w:r w:rsidR="009B5996"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 xml:space="preserve"> U 202</w:t>
      </w:r>
      <w:r w:rsidR="00F93ED5">
        <w:rPr>
          <w:rFonts w:asciiTheme="majorHAnsi" w:hAnsiTheme="majorHAnsi" w:cstheme="majorHAnsi"/>
          <w:b/>
          <w:bCs/>
          <w:spacing w:val="5"/>
          <w:sz w:val="24"/>
          <w:szCs w:val="24"/>
        </w:rPr>
        <w:t>1</w:t>
      </w:r>
      <w:r w:rsidR="009B5996"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. GOD.</w:t>
      </w:r>
    </w:p>
    <w:p w14:paraId="02E3A313" w14:textId="77777777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tbl>
      <w:tblPr>
        <w:tblW w:w="5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05"/>
        <w:gridCol w:w="815"/>
        <w:gridCol w:w="49"/>
        <w:gridCol w:w="960"/>
        <w:gridCol w:w="225"/>
        <w:gridCol w:w="1095"/>
      </w:tblGrid>
      <w:tr w:rsidR="009B5996" w:rsidRPr="00114134" w14:paraId="7E902B2B" w14:textId="77777777" w:rsidTr="00062942">
        <w:trPr>
          <w:trHeight w:val="267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E240122" w14:textId="77777777" w:rsidR="009B5996" w:rsidRPr="00114134" w:rsidRDefault="009B599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 w:rsidRPr="0011413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Država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center"/>
            <w:hideMark/>
          </w:tcPr>
          <w:p w14:paraId="564C6538" w14:textId="77777777" w:rsidR="009B5996" w:rsidRPr="00114134" w:rsidRDefault="009B599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 w:rsidRPr="0011413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Dolasci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BD3F673" w14:textId="77777777" w:rsidR="009B5996" w:rsidRPr="00114134" w:rsidRDefault="009B599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 w:rsidRPr="0011413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Noćenja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center"/>
            <w:hideMark/>
          </w:tcPr>
          <w:p w14:paraId="1DA28334" w14:textId="77777777" w:rsidR="009B5996" w:rsidRPr="00114134" w:rsidRDefault="009B599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</w:pPr>
            <w:r w:rsidRPr="0011413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hr-HR"/>
              </w:rPr>
              <w:t>Broj turista</w:t>
            </w:r>
          </w:p>
        </w:tc>
      </w:tr>
      <w:tr w:rsidR="009B5996" w:rsidRPr="00114134" w14:paraId="7A258CE4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BD5032F" w14:textId="77777777" w:rsidR="009B5996" w:rsidRPr="00114134" w:rsidRDefault="009B599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114134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Hrvatska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35E817F0" w14:textId="1709E79A" w:rsidR="009B5996" w:rsidRPr="00114134" w:rsidRDefault="003E39D3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3E39D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281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23EB2164" w14:textId="7D8227C7" w:rsidR="009B5996" w:rsidRPr="00114134" w:rsidRDefault="003E39D3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3E39D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850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0E6CAC95" w14:textId="3C23F9AA" w:rsidR="009B5996" w:rsidRPr="00114134" w:rsidRDefault="003E39D3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3E39D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281</w:t>
            </w:r>
          </w:p>
        </w:tc>
      </w:tr>
      <w:tr w:rsidR="009B5996" w:rsidRPr="00114134" w14:paraId="6537A84E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D9B12F3" w14:textId="7170B64E" w:rsidR="009B5996" w:rsidRPr="00114134" w:rsidRDefault="00F3238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Njemačka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11329B2B" w14:textId="278A3287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5D777E83" w14:textId="737EACBA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C3D42C7" w14:textId="1116B436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58</w:t>
            </w:r>
          </w:p>
        </w:tc>
      </w:tr>
      <w:tr w:rsidR="009B5996" w:rsidRPr="00114134" w14:paraId="30962EA4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3409446" w14:textId="2524BE7C" w:rsidR="009B5996" w:rsidRPr="00114134" w:rsidRDefault="00F3238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Kina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7F851665" w14:textId="11128CF5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2FB92025" w14:textId="56352439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6C13043B" w14:textId="11043947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7</w:t>
            </w:r>
          </w:p>
        </w:tc>
      </w:tr>
      <w:tr w:rsidR="009B5996" w:rsidRPr="00114134" w14:paraId="113E8A1E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C880FF0" w14:textId="17325CAA" w:rsidR="009B5996" w:rsidRPr="00114134" w:rsidRDefault="00F3238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Italija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5AD8332B" w14:textId="156BADE5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332FCF50" w14:textId="57667DBA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C310FF8" w14:textId="74B02B3E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29</w:t>
            </w:r>
          </w:p>
        </w:tc>
      </w:tr>
      <w:tr w:rsidR="009B5996" w:rsidRPr="00114134" w14:paraId="1F3C7C52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7455F64" w14:textId="5119D56C" w:rsidR="009B5996" w:rsidRPr="00114134" w:rsidRDefault="00F3238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Austrija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2B69458A" w14:textId="6B1A2506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009D7A2E" w14:textId="1398FB35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3464EF48" w14:textId="67B4C922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F93ED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9</w:t>
            </w:r>
          </w:p>
        </w:tc>
      </w:tr>
      <w:tr w:rsidR="009B5996" w:rsidRPr="00114134" w14:paraId="14FC4986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6E7A08A0" w14:textId="25549813" w:rsidR="009B5996" w:rsidRPr="00114134" w:rsidRDefault="00F3238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Turska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5AA9D879" w14:textId="1F54D19A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40E2833B" w14:textId="710C3C8E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CD15024" w14:textId="1907E10D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15</w:t>
            </w:r>
          </w:p>
        </w:tc>
      </w:tr>
      <w:tr w:rsidR="009B5996" w:rsidRPr="00114134" w14:paraId="06DCC761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D9D685B" w14:textId="5F9EB145" w:rsidR="009B5996" w:rsidRPr="00114134" w:rsidRDefault="00F3238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Bugarska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0AB93A43" w14:textId="745A218F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7EFCCF96" w14:textId="132135EC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3B4B6FC" w14:textId="35722EB1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</w:tr>
      <w:tr w:rsidR="009B5996" w:rsidRPr="00114134" w14:paraId="1185F4B1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5ED981F1" w14:textId="77777777" w:rsidR="009B5996" w:rsidRPr="00114134" w:rsidRDefault="009B599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 w:rsidRPr="00114134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Makedonija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595AF31C" w14:textId="62E08FE8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112D5CFB" w14:textId="2CD9FFB9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1454BA90" w14:textId="678601FA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</w:tr>
      <w:tr w:rsidR="009B5996" w:rsidRPr="00114134" w14:paraId="3AEDA04C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5B08DDA0" w14:textId="1BED127A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Švicarska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7E2B2D38" w14:textId="6F994081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5972C556" w14:textId="452AC87E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23096829" w14:textId="485BA7D1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16</w:t>
            </w:r>
          </w:p>
        </w:tc>
      </w:tr>
      <w:tr w:rsidR="009B5996" w:rsidRPr="00114134" w14:paraId="444AEE0C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92B4E50" w14:textId="75A994F3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Kosovo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1D683093" w14:textId="1E59F20A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411C4541" w14:textId="55484A84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74999DE2" w14:textId="58A050CC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</w:tr>
      <w:tr w:rsidR="009B5996" w:rsidRPr="00114134" w14:paraId="1829BD2B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099B2172" w14:textId="77BC18E8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Srbija 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1F5ED926" w14:textId="0CAB2C3F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14BD4C44" w14:textId="61BB5D51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3D238ECA" w14:textId="4105941C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14</w:t>
            </w:r>
          </w:p>
        </w:tc>
      </w:tr>
      <w:tr w:rsidR="009B5996" w:rsidRPr="00114134" w14:paraId="7D244ADA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44ACFAC" w14:textId="47C06F1E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Grčka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150DC40A" w14:textId="0E0FC646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4C268335" w14:textId="4E4C5071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7C845E58" w14:textId="60B6E94C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6</w:t>
            </w:r>
          </w:p>
        </w:tc>
      </w:tr>
      <w:tr w:rsidR="009B5996" w:rsidRPr="00114134" w14:paraId="62714EF5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4589B2E" w14:textId="3F662701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Slovenija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06463C02" w14:textId="6420F82D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4F78DBC9" w14:textId="59663475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6A949DA9" w14:textId="40F75AA6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5</w:t>
            </w:r>
          </w:p>
        </w:tc>
      </w:tr>
      <w:tr w:rsidR="009B5996" w:rsidRPr="00114134" w14:paraId="109F397F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2FEF02CB" w14:textId="0C82F06D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Belgija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7F4AEDE6" w14:textId="6C5D6C97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78958DAF" w14:textId="571BD856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1C69599A" w14:textId="62474244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5</w:t>
            </w:r>
          </w:p>
        </w:tc>
      </w:tr>
      <w:tr w:rsidR="009B5996" w:rsidRPr="00114134" w14:paraId="11EDFCC4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76D7ABA" w14:textId="5218D67F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Francuska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4E0A173F" w14:textId="62C6218A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742AB861" w14:textId="6601881E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25F0620B" w14:textId="63CFD0B2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8</w:t>
            </w:r>
          </w:p>
        </w:tc>
      </w:tr>
      <w:tr w:rsidR="009B5996" w:rsidRPr="00114134" w14:paraId="6A800A50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206AA97" w14:textId="63A703B5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Norveška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04CB5653" w14:textId="368628C9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07BB5E2F" w14:textId="53D784FB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3A18F51C" w14:textId="0E15627C" w:rsidR="009B5996" w:rsidRPr="00114134" w:rsidRDefault="00F93ED5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4</w:t>
            </w:r>
          </w:p>
        </w:tc>
      </w:tr>
      <w:tr w:rsidR="009B5996" w:rsidRPr="00114134" w14:paraId="6C1ECC26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4D18826B" w14:textId="4D6FA15E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Bosna i Hercegovina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4050172A" w14:textId="49C71997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5B958D5C" w14:textId="762D8AF9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135CD9DE" w14:textId="4C39597C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</w:tr>
      <w:tr w:rsidR="009B5996" w:rsidRPr="00114134" w14:paraId="64A4AFF0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48AB7FA" w14:textId="35CF9DFA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Češka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08C0DA80" w14:textId="4F2ABA98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698B0A88" w14:textId="35453D2D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161FFFCA" w14:textId="3C48A6AA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</w:tr>
      <w:tr w:rsidR="009B5996" w:rsidRPr="00114134" w14:paraId="02CBDA9B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1CFE75F0" w14:textId="68257F80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Rumunjska 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68FF334E" w14:textId="4A2E8DE4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21601D3E" w14:textId="77063E43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7F4E8832" w14:textId="458F99C2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</w:tr>
      <w:tr w:rsidR="009B5996" w:rsidRPr="00114134" w14:paraId="082CE4E4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618E2A46" w14:textId="633FBBE9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Portugal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25F8A197" w14:textId="310A8669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4E5BE663" w14:textId="7BD3494D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36A23736" w14:textId="73B00309" w:rsidR="009B5996" w:rsidRPr="00114134" w:rsidRDefault="00B91A90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3</w:t>
            </w:r>
          </w:p>
        </w:tc>
      </w:tr>
      <w:tr w:rsidR="009B5996" w:rsidRPr="00114134" w14:paraId="48C663C5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3D55C33D" w14:textId="7513F696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Danska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1E2FCEC8" w14:textId="26090869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2B1C9D68" w14:textId="4394596B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03CF74F4" w14:textId="2D373D55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</w:tr>
      <w:tr w:rsidR="009B5996" w:rsidRPr="00114134" w14:paraId="5AFFA218" w14:textId="77777777" w:rsidTr="001B4D94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  <w:hideMark/>
          </w:tcPr>
          <w:p w14:paraId="7DEE6011" w14:textId="56E848DF" w:rsidR="009B5996" w:rsidRPr="00114134" w:rsidRDefault="00062942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Ostale azijske zemlje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3CE874C5" w14:textId="3B38A917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3CD48880" w14:textId="07BBAE93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08575A9" w14:textId="4625015D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2</w:t>
            </w:r>
          </w:p>
        </w:tc>
      </w:tr>
      <w:tr w:rsidR="009B5996" w:rsidRPr="00114134" w14:paraId="025F0044" w14:textId="77777777" w:rsidTr="00062942">
        <w:trPr>
          <w:trHeight w:val="255"/>
        </w:trPr>
        <w:tc>
          <w:tcPr>
            <w:tcW w:w="2660" w:type="dxa"/>
            <w:shd w:val="clear" w:color="auto" w:fill="auto"/>
            <w:noWrap/>
            <w:vAlign w:val="bottom"/>
          </w:tcPr>
          <w:p w14:paraId="27A8FC30" w14:textId="7578B9FA" w:rsidR="009B5996" w:rsidRPr="00114134" w:rsidRDefault="001B4D94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Albanija</w:t>
            </w:r>
          </w:p>
        </w:tc>
        <w:tc>
          <w:tcPr>
            <w:tcW w:w="920" w:type="dxa"/>
            <w:gridSpan w:val="2"/>
            <w:shd w:val="clear" w:color="auto" w:fill="auto"/>
            <w:noWrap/>
            <w:vAlign w:val="bottom"/>
          </w:tcPr>
          <w:p w14:paraId="18DF8E83" w14:textId="14B21CF6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</w:tcPr>
          <w:p w14:paraId="536AFF98" w14:textId="100DCA7C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20" w:type="dxa"/>
            <w:gridSpan w:val="2"/>
            <w:shd w:val="clear" w:color="auto" w:fill="auto"/>
            <w:noWrap/>
            <w:vAlign w:val="bottom"/>
          </w:tcPr>
          <w:p w14:paraId="4ADC5969" w14:textId="7C1DA49A" w:rsidR="009B5996" w:rsidRPr="00114134" w:rsidRDefault="001B6CC6" w:rsidP="0006294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1</w:t>
            </w:r>
          </w:p>
        </w:tc>
      </w:tr>
      <w:tr w:rsidR="00062942" w14:paraId="16F97D06" w14:textId="3A3C999A" w:rsidTr="00062942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2765" w:type="dxa"/>
            <w:gridSpan w:val="2"/>
          </w:tcPr>
          <w:p w14:paraId="6A1DDECE" w14:textId="7C327F45" w:rsidR="00062942" w:rsidRPr="001B4D94" w:rsidRDefault="001B4D94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pacing w:val="5"/>
                <w:sz w:val="24"/>
                <w:szCs w:val="24"/>
              </w:rPr>
              <w:lastRenderedPageBreak/>
              <w:t>Indija</w:t>
            </w:r>
          </w:p>
        </w:tc>
        <w:tc>
          <w:tcPr>
            <w:tcW w:w="864" w:type="dxa"/>
            <w:gridSpan w:val="2"/>
          </w:tcPr>
          <w:p w14:paraId="3FB0BFDD" w14:textId="18409292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</w:tcPr>
          <w:p w14:paraId="059CACA2" w14:textId="0043B0CD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14:paraId="41DD6A6F" w14:textId="3FE26012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</w:tr>
      <w:tr w:rsidR="00062942" w14:paraId="3576FFA1" w14:textId="66C120CF" w:rsidTr="000629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7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E1333A" w14:textId="2EA630A9" w:rsidR="00062942" w:rsidRPr="001B4D94" w:rsidRDefault="001B4D94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4D94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Maroko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9D22F" w14:textId="6A8C63D6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D641DF" w14:textId="26DEF40B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E49" w14:textId="524501AB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</w:tr>
      <w:tr w:rsidR="00062942" w14:paraId="68602B59" w14:textId="2FEB6B69" w:rsidTr="00062942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765" w:type="dxa"/>
            <w:gridSpan w:val="2"/>
          </w:tcPr>
          <w:p w14:paraId="0CDF2A23" w14:textId="4C25E68F" w:rsidR="00062942" w:rsidRPr="001B4D94" w:rsidRDefault="001B4D94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4D94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Poljska</w:t>
            </w:r>
          </w:p>
        </w:tc>
        <w:tc>
          <w:tcPr>
            <w:tcW w:w="864" w:type="dxa"/>
            <w:gridSpan w:val="2"/>
          </w:tcPr>
          <w:p w14:paraId="54F1C655" w14:textId="3C5DD563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</w:tcPr>
          <w:p w14:paraId="1C4B0614" w14:textId="76D00FC0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14:paraId="75845ECD" w14:textId="26F94252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</w:tr>
      <w:tr w:rsidR="00062942" w14:paraId="7D095A7F" w14:textId="4D9AF9CB" w:rsidTr="00062942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765" w:type="dxa"/>
            <w:gridSpan w:val="2"/>
          </w:tcPr>
          <w:p w14:paraId="2B051528" w14:textId="6838FF89" w:rsidR="00062942" w:rsidRPr="001B4D94" w:rsidRDefault="001B4D94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4D94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Španjolska</w:t>
            </w:r>
          </w:p>
        </w:tc>
        <w:tc>
          <w:tcPr>
            <w:tcW w:w="864" w:type="dxa"/>
            <w:gridSpan w:val="2"/>
          </w:tcPr>
          <w:p w14:paraId="40273BDE" w14:textId="7BAF8A32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</w:tcPr>
          <w:p w14:paraId="40F05A75" w14:textId="4AE921B6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14:paraId="4D6DCCF1" w14:textId="6CBF2306" w:rsidR="00062942" w:rsidRPr="001B6CC6" w:rsidRDefault="001B6CC6" w:rsidP="00062942">
            <w:pPr>
              <w:spacing w:after="0"/>
              <w:jc w:val="both"/>
              <w:rPr>
                <w:rFonts w:asciiTheme="majorHAnsi" w:hAnsiTheme="majorHAnsi" w:cstheme="majorHAnsi"/>
                <w:spacing w:val="5"/>
                <w:sz w:val="24"/>
                <w:szCs w:val="24"/>
              </w:rPr>
            </w:pPr>
            <w:r w:rsidRPr="001B6CC6">
              <w:rPr>
                <w:rFonts w:asciiTheme="majorHAnsi" w:hAnsiTheme="majorHAnsi" w:cstheme="majorHAnsi"/>
                <w:spacing w:val="5"/>
                <w:sz w:val="24"/>
                <w:szCs w:val="24"/>
              </w:rPr>
              <w:t>1</w:t>
            </w:r>
          </w:p>
        </w:tc>
      </w:tr>
    </w:tbl>
    <w:p w14:paraId="44161727" w14:textId="1D88310E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144C9C55" w14:textId="3F0F84A4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Izvor: e-</w:t>
      </w:r>
      <w:proofErr w:type="spellStart"/>
      <w:r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>Visitor</w:t>
      </w:r>
      <w:proofErr w:type="spellEnd"/>
    </w:p>
    <w:p w14:paraId="78D56765" w14:textId="4EFFA595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40801394" w14:textId="441FFCE8" w:rsidR="002037F5" w:rsidRPr="00114134" w:rsidRDefault="009B5996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b/>
          <w:bCs/>
          <w:noProof/>
          <w:color w:val="FF0000"/>
          <w:spacing w:val="5"/>
          <w:sz w:val="24"/>
          <w:szCs w:val="24"/>
        </w:rPr>
        <w:drawing>
          <wp:inline distT="0" distB="0" distL="0" distR="0" wp14:anchorId="1A36301E" wp14:editId="7798AA7F">
            <wp:extent cx="5486400" cy="3343275"/>
            <wp:effectExtent l="0" t="0" r="0" b="952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B50871" w14:textId="0E11D010" w:rsidR="007210B0" w:rsidRPr="00114134" w:rsidRDefault="007210B0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5C67B6C6" w14:textId="77777777" w:rsidR="007210B0" w:rsidRPr="00114134" w:rsidRDefault="007210B0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0A831637" w14:textId="73D1F1D1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spacing w:val="5"/>
          <w:sz w:val="24"/>
          <w:szCs w:val="24"/>
        </w:rPr>
        <w:t>Temeljem podataka iz e-</w:t>
      </w:r>
      <w:proofErr w:type="spellStart"/>
      <w:r w:rsidRPr="00114134">
        <w:rPr>
          <w:rFonts w:asciiTheme="majorHAnsi" w:hAnsiTheme="majorHAnsi" w:cstheme="majorHAnsi"/>
          <w:spacing w:val="5"/>
          <w:sz w:val="24"/>
          <w:szCs w:val="24"/>
        </w:rPr>
        <w:t>Visitor</w:t>
      </w:r>
      <w:r w:rsidR="000C66D0">
        <w:rPr>
          <w:rFonts w:asciiTheme="majorHAnsi" w:hAnsiTheme="majorHAnsi" w:cstheme="majorHAnsi"/>
          <w:spacing w:val="5"/>
          <w:sz w:val="24"/>
          <w:szCs w:val="24"/>
        </w:rPr>
        <w:t>a</w:t>
      </w:r>
      <w:proofErr w:type="spellEnd"/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u 20</w:t>
      </w:r>
      <w:r w:rsidR="0040741F" w:rsidRPr="00114134">
        <w:rPr>
          <w:rFonts w:asciiTheme="majorHAnsi" w:hAnsiTheme="majorHAnsi" w:cstheme="majorHAnsi"/>
          <w:spacing w:val="5"/>
          <w:sz w:val="24"/>
          <w:szCs w:val="24"/>
        </w:rPr>
        <w:t>2</w:t>
      </w:r>
      <w:r w:rsidR="00521901">
        <w:rPr>
          <w:rFonts w:asciiTheme="majorHAnsi" w:hAnsiTheme="majorHAnsi" w:cstheme="majorHAnsi"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godini ostvarili smo porast </w:t>
      </w:r>
      <w:r w:rsidR="003157C2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od </w:t>
      </w:r>
      <w:r w:rsidR="0040741F" w:rsidRPr="00114134">
        <w:rPr>
          <w:rFonts w:asciiTheme="majorHAnsi" w:hAnsiTheme="majorHAnsi" w:cstheme="majorHAnsi"/>
          <w:spacing w:val="5"/>
          <w:sz w:val="24"/>
          <w:szCs w:val="24"/>
        </w:rPr>
        <w:t>6</w:t>
      </w:r>
      <w:r w:rsidR="007102A5">
        <w:rPr>
          <w:rFonts w:asciiTheme="majorHAnsi" w:hAnsiTheme="majorHAnsi" w:cstheme="majorHAnsi"/>
          <w:spacing w:val="5"/>
          <w:sz w:val="24"/>
          <w:szCs w:val="24"/>
        </w:rPr>
        <w:t>8</w:t>
      </w:r>
      <w:r w:rsidR="003157C2" w:rsidRPr="00114134">
        <w:rPr>
          <w:rFonts w:asciiTheme="majorHAnsi" w:hAnsiTheme="majorHAnsi" w:cstheme="majorHAnsi"/>
          <w:spacing w:val="5"/>
          <w:sz w:val="24"/>
          <w:szCs w:val="24"/>
        </w:rPr>
        <w:t>% u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ukupnom broju dolazaka </w:t>
      </w:r>
      <w:r w:rsidR="003157C2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i </w:t>
      </w:r>
      <w:r w:rsidR="007102A5">
        <w:rPr>
          <w:rFonts w:asciiTheme="majorHAnsi" w:hAnsiTheme="majorHAnsi" w:cstheme="majorHAnsi"/>
          <w:spacing w:val="5"/>
          <w:sz w:val="24"/>
          <w:szCs w:val="24"/>
        </w:rPr>
        <w:t>89</w:t>
      </w:r>
      <w:r w:rsidR="003157C2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% u ukupnom broju noćenja. 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>Iako je</w:t>
      </w:r>
      <w:r w:rsidR="009E1E93" w:rsidRPr="00114134">
        <w:rPr>
          <w:rFonts w:asciiTheme="majorHAnsi" w:hAnsiTheme="majorHAnsi" w:cstheme="majorHAnsi"/>
          <w:b/>
          <w:bCs/>
          <w:spacing w:val="5"/>
          <w:sz w:val="24"/>
          <w:szCs w:val="24"/>
        </w:rPr>
        <w:t xml:space="preserve"> </w:t>
      </w:r>
      <w:r w:rsidR="003157C2" w:rsidRPr="00114134">
        <w:rPr>
          <w:rFonts w:asciiTheme="majorHAnsi" w:hAnsiTheme="majorHAnsi" w:cstheme="majorHAnsi"/>
          <w:sz w:val="24"/>
          <w:szCs w:val="24"/>
        </w:rPr>
        <w:t xml:space="preserve"> riječ o iznimnom malenom broju dolazaka i noćenja </w:t>
      </w:r>
      <w:r w:rsidR="0022759F" w:rsidRPr="00114134">
        <w:rPr>
          <w:rFonts w:asciiTheme="majorHAnsi" w:hAnsiTheme="majorHAnsi" w:cstheme="majorHAnsi"/>
          <w:sz w:val="24"/>
          <w:szCs w:val="24"/>
        </w:rPr>
        <w:t>svaki uzlazni trend</w:t>
      </w:r>
      <w:r w:rsidR="003157C2" w:rsidRPr="00114134">
        <w:rPr>
          <w:rFonts w:asciiTheme="majorHAnsi" w:hAnsiTheme="majorHAnsi" w:cstheme="majorHAnsi"/>
          <w:sz w:val="24"/>
          <w:szCs w:val="24"/>
        </w:rPr>
        <w:t xml:space="preserve"> </w:t>
      </w:r>
      <w:r w:rsidR="0022759F" w:rsidRPr="00114134">
        <w:rPr>
          <w:rFonts w:asciiTheme="majorHAnsi" w:hAnsiTheme="majorHAnsi" w:cstheme="majorHAnsi"/>
          <w:sz w:val="24"/>
          <w:szCs w:val="24"/>
        </w:rPr>
        <w:t xml:space="preserve">je poticajan. </w:t>
      </w:r>
    </w:p>
    <w:p w14:paraId="00E37F15" w14:textId="77777777" w:rsidR="002037F5" w:rsidRPr="00114134" w:rsidRDefault="002037F5" w:rsidP="00114134">
      <w:pPr>
        <w:spacing w:after="0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</w:rPr>
      </w:pPr>
    </w:p>
    <w:p w14:paraId="14BC8A8B" w14:textId="77777777" w:rsidR="003157C2" w:rsidRPr="00114134" w:rsidRDefault="003157C2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</w:p>
    <w:p w14:paraId="19261E96" w14:textId="5D79BD0E" w:rsidR="009E11DD" w:rsidRDefault="003428CB" w:rsidP="004D20DC">
      <w:pPr>
        <w:pStyle w:val="Naslov1"/>
        <w:numPr>
          <w:ilvl w:val="0"/>
          <w:numId w:val="30"/>
        </w:numPr>
      </w:pPr>
      <w:bookmarkStart w:id="2" w:name="_Toc98247991"/>
      <w:r>
        <w:t>RAZVOJ TURISTIČKOG PROIZVODA</w:t>
      </w:r>
      <w:bookmarkEnd w:id="2"/>
    </w:p>
    <w:p w14:paraId="0F2EFE21" w14:textId="77777777" w:rsidR="00845306" w:rsidRPr="00845306" w:rsidRDefault="00845306" w:rsidP="00845306"/>
    <w:p w14:paraId="4BEE2E14" w14:textId="034C522F" w:rsidR="007836D3" w:rsidRDefault="007836D3" w:rsidP="004D20DC">
      <w:pPr>
        <w:pStyle w:val="Naslov2"/>
        <w:numPr>
          <w:ilvl w:val="0"/>
          <w:numId w:val="31"/>
        </w:numPr>
      </w:pPr>
      <w:bookmarkStart w:id="3" w:name="_Toc98247992"/>
      <w:r>
        <w:t>Identifikacija i vrednovanje resursa te strukturiranje turističkih proizvoda</w:t>
      </w:r>
      <w:bookmarkEnd w:id="3"/>
      <w:r>
        <w:t xml:space="preserve"> </w:t>
      </w:r>
    </w:p>
    <w:p w14:paraId="2EDE40FD" w14:textId="77777777" w:rsidR="00845306" w:rsidRPr="00845306" w:rsidRDefault="00845306" w:rsidP="00845306"/>
    <w:p w14:paraId="22AC9B1F" w14:textId="2D517F9B" w:rsidR="007836D3" w:rsidRDefault="007836D3" w:rsidP="007836D3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 w:rsidRPr="007836D3">
        <w:rPr>
          <w:rFonts w:asciiTheme="majorHAnsi" w:hAnsiTheme="majorHAnsi" w:cstheme="majorHAnsi"/>
          <w:spacing w:val="5"/>
          <w:sz w:val="24"/>
          <w:szCs w:val="24"/>
        </w:rPr>
        <w:t>Program „ Promatranje ptica u Općini Nijemci“ provodimo u suradnji s Hrvatskim društvom za zaštitu ptica i prirode na Međunarodni dan ptica selica u Centru za promatranje ptica Nijemci. Organizir</w:t>
      </w:r>
      <w:r>
        <w:rPr>
          <w:rFonts w:asciiTheme="majorHAnsi" w:hAnsiTheme="majorHAnsi" w:cstheme="majorHAnsi"/>
          <w:spacing w:val="5"/>
          <w:sz w:val="24"/>
          <w:szCs w:val="24"/>
        </w:rPr>
        <w:t>ali smo</w:t>
      </w:r>
      <w:r w:rsidRPr="007836D3">
        <w:rPr>
          <w:rFonts w:asciiTheme="majorHAnsi" w:hAnsiTheme="majorHAnsi" w:cstheme="majorHAnsi"/>
          <w:spacing w:val="5"/>
          <w:sz w:val="24"/>
          <w:szCs w:val="24"/>
        </w:rPr>
        <w:t xml:space="preserve"> edukativne radionice na temu ptica selica, održ</w:t>
      </w:r>
      <w:r>
        <w:rPr>
          <w:rFonts w:asciiTheme="majorHAnsi" w:hAnsiTheme="majorHAnsi" w:cstheme="majorHAnsi"/>
          <w:spacing w:val="5"/>
          <w:sz w:val="24"/>
          <w:szCs w:val="24"/>
        </w:rPr>
        <w:t>ali</w:t>
      </w:r>
      <w:r w:rsidRPr="007836D3">
        <w:rPr>
          <w:rFonts w:asciiTheme="majorHAnsi" w:hAnsiTheme="majorHAnsi" w:cstheme="majorHAnsi"/>
          <w:spacing w:val="5"/>
          <w:sz w:val="24"/>
          <w:szCs w:val="24"/>
        </w:rPr>
        <w:t xml:space="preserve"> predavanj</w:t>
      </w:r>
      <w:r>
        <w:rPr>
          <w:rFonts w:asciiTheme="majorHAnsi" w:hAnsiTheme="majorHAnsi" w:cstheme="majorHAnsi"/>
          <w:spacing w:val="5"/>
          <w:sz w:val="24"/>
          <w:szCs w:val="24"/>
        </w:rPr>
        <w:t>e</w:t>
      </w:r>
      <w:r w:rsidRPr="007836D3">
        <w:rPr>
          <w:rFonts w:asciiTheme="majorHAnsi" w:hAnsiTheme="majorHAnsi" w:cstheme="majorHAnsi"/>
          <w:spacing w:val="5"/>
          <w:sz w:val="24"/>
          <w:szCs w:val="24"/>
        </w:rPr>
        <w:t xml:space="preserve"> na temu ptica selica prilagođen</w:t>
      </w:r>
      <w:r>
        <w:rPr>
          <w:rFonts w:asciiTheme="majorHAnsi" w:hAnsiTheme="majorHAnsi" w:cstheme="majorHAnsi"/>
          <w:spacing w:val="5"/>
          <w:sz w:val="24"/>
          <w:szCs w:val="24"/>
        </w:rPr>
        <w:t>o</w:t>
      </w:r>
      <w:r w:rsidRPr="007836D3">
        <w:rPr>
          <w:rFonts w:asciiTheme="majorHAnsi" w:hAnsiTheme="majorHAnsi" w:cstheme="majorHAnsi"/>
          <w:spacing w:val="5"/>
          <w:sz w:val="24"/>
          <w:szCs w:val="24"/>
        </w:rPr>
        <w:t xml:space="preserve"> za djecu vrtićke, osnovnoškolske i srednjoškolske dobi</w:t>
      </w:r>
      <w:r>
        <w:rPr>
          <w:rFonts w:asciiTheme="majorHAnsi" w:hAnsiTheme="majorHAnsi" w:cstheme="majorHAnsi"/>
          <w:spacing w:val="5"/>
          <w:sz w:val="24"/>
          <w:szCs w:val="24"/>
        </w:rPr>
        <w:t xml:space="preserve">. </w:t>
      </w:r>
    </w:p>
    <w:p w14:paraId="1660BB83" w14:textId="7DCC9E25" w:rsidR="007836D3" w:rsidRDefault="000A22B8" w:rsidP="007836D3">
      <w:pPr>
        <w:shd w:val="clear" w:color="auto" w:fill="FFFFFF"/>
        <w:spacing w:after="0"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>
        <w:rPr>
          <w:rFonts w:asciiTheme="majorHAnsi" w:hAnsiTheme="majorHAnsi" w:cstheme="majorHAnsi"/>
          <w:spacing w:val="5"/>
          <w:sz w:val="24"/>
          <w:szCs w:val="24"/>
        </w:rPr>
        <w:t>Planirana sredstva u 2021. godini za Identifikaciju i vrednovanje resursa te strukturiranje turističkih proizvoda iznosila su 11.480,68 kn, a ostvareno je 11.480,68 kn što čini 100 % izvršenja i 1,20 % udjela u ukupnim rashodima.</w:t>
      </w:r>
    </w:p>
    <w:p w14:paraId="2DDBDDDD" w14:textId="66DB3AD4" w:rsidR="000A22B8" w:rsidRDefault="000A22B8" w:rsidP="007836D3">
      <w:pPr>
        <w:shd w:val="clear" w:color="auto" w:fill="FFFFFF"/>
        <w:spacing w:after="0"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</w:p>
    <w:p w14:paraId="430CD175" w14:textId="1CAB3C32" w:rsidR="000A22B8" w:rsidRPr="00A677C2" w:rsidRDefault="00A677C2" w:rsidP="004D20DC">
      <w:pPr>
        <w:pStyle w:val="Naslov2"/>
        <w:numPr>
          <w:ilvl w:val="0"/>
          <w:numId w:val="31"/>
        </w:numPr>
      </w:pPr>
      <w:bookmarkStart w:id="4" w:name="_Toc98247993"/>
      <w:r w:rsidRPr="00A677C2">
        <w:lastRenderedPageBreak/>
        <w:t>Podrška razvoju turističkih događanja</w:t>
      </w:r>
      <w:bookmarkEnd w:id="4"/>
    </w:p>
    <w:p w14:paraId="5DCC5C74" w14:textId="174E028B" w:rsidR="000A22B8" w:rsidRPr="00114134" w:rsidRDefault="000A22B8" w:rsidP="000A22B8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Organizacije manifestacija, potpore manifestacijama i </w:t>
      </w:r>
      <w:r w:rsidRPr="00114134">
        <w:rPr>
          <w:rFonts w:asciiTheme="majorHAnsi" w:hAnsiTheme="majorHAnsi" w:cstheme="majorHAnsi"/>
          <w:sz w:val="24"/>
          <w:szCs w:val="24"/>
        </w:rPr>
        <w:t xml:space="preserve">organizaciju i upravljanje destinacijom i potporu razvoju DMO i DMK.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Rashodi utrošeni na organizacije manifestacija planirane su u iznosu od </w:t>
      </w:r>
      <w:r>
        <w:rPr>
          <w:rFonts w:asciiTheme="majorHAnsi" w:hAnsiTheme="majorHAnsi" w:cstheme="majorHAnsi"/>
          <w:spacing w:val="5"/>
          <w:sz w:val="24"/>
          <w:szCs w:val="24"/>
        </w:rPr>
        <w:t>408.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 xml:space="preserve">213,23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kn , a ostvareni u iznosu od 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 xml:space="preserve">374.380,45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kn, što čini 9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>1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>,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 xml:space="preserve">71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% izvršenja 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>te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3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 xml:space="preserve">9,17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% udjela u </w:t>
      </w:r>
      <w:r w:rsidR="00BA03CC">
        <w:rPr>
          <w:rFonts w:asciiTheme="majorHAnsi" w:hAnsiTheme="majorHAnsi" w:cstheme="majorHAnsi"/>
          <w:spacing w:val="5"/>
          <w:sz w:val="24"/>
          <w:szCs w:val="24"/>
        </w:rPr>
        <w:t xml:space="preserve">ukupnim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rashodima. </w:t>
      </w:r>
    </w:p>
    <w:p w14:paraId="0403BE03" w14:textId="20461C47" w:rsidR="000A22B8" w:rsidRPr="00114134" w:rsidRDefault="00AB2D79" w:rsidP="00845306">
      <w:pPr>
        <w:pStyle w:val="Naslov3"/>
      </w:pPr>
      <w:bookmarkStart w:id="5" w:name="_Toc98247994"/>
      <w:r>
        <w:t xml:space="preserve">1. </w:t>
      </w:r>
      <w:r w:rsidR="000A22B8" w:rsidRPr="00114134">
        <w:t>Manifestacije</w:t>
      </w:r>
      <w:bookmarkEnd w:id="5"/>
      <w:r w:rsidR="000A22B8" w:rsidRPr="00114134">
        <w:t xml:space="preserve"> </w:t>
      </w:r>
    </w:p>
    <w:p w14:paraId="1E9D33D6" w14:textId="1E8014CE" w:rsidR="000A22B8" w:rsidRPr="00DC26AD" w:rsidRDefault="000A22B8" w:rsidP="000A22B8">
      <w:pPr>
        <w:spacing w:after="0"/>
        <w:jc w:val="both"/>
        <w:rPr>
          <w:rFonts w:asciiTheme="majorHAnsi" w:hAnsiTheme="majorHAnsi" w:cstheme="majorHAnsi"/>
          <w:iCs/>
          <w:sz w:val="24"/>
          <w:szCs w:val="24"/>
        </w:rPr>
      </w:pPr>
      <w:bookmarkStart w:id="6" w:name="_Hlk98098761"/>
      <w:r w:rsidRPr="00DC26AD">
        <w:rPr>
          <w:rFonts w:asciiTheme="majorHAnsi" w:hAnsiTheme="majorHAnsi" w:cstheme="majorHAnsi"/>
          <w:b/>
          <w:bCs/>
          <w:iCs/>
          <w:sz w:val="24"/>
          <w:szCs w:val="24"/>
        </w:rPr>
        <w:t>a) Divan je kićeni Srijem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- u razdoblju od 1</w:t>
      </w:r>
      <w:r w:rsidR="00D471F8" w:rsidRPr="00DC26AD">
        <w:rPr>
          <w:rFonts w:asciiTheme="majorHAnsi" w:hAnsiTheme="majorHAnsi" w:cstheme="majorHAnsi"/>
          <w:iCs/>
          <w:sz w:val="24"/>
          <w:szCs w:val="24"/>
        </w:rPr>
        <w:t>9</w:t>
      </w:r>
      <w:r w:rsidRPr="00DC26AD">
        <w:rPr>
          <w:rFonts w:asciiTheme="majorHAnsi" w:hAnsiTheme="majorHAnsi" w:cstheme="majorHAnsi"/>
          <w:iCs/>
          <w:sz w:val="24"/>
          <w:szCs w:val="24"/>
        </w:rPr>
        <w:t>. do 2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>0</w:t>
      </w:r>
      <w:r w:rsidRPr="00DC26AD">
        <w:rPr>
          <w:rFonts w:asciiTheme="majorHAnsi" w:hAnsiTheme="majorHAnsi" w:cstheme="majorHAnsi"/>
          <w:iCs/>
          <w:sz w:val="24"/>
          <w:szCs w:val="24"/>
        </w:rPr>
        <w:t>. lipnja 202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>1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. unatoč teškim prilikama zbog situacije COVID-19 uspjeli smo održati manifestaciju Divan je kićeni Srijem. Obzirom da su epidemiološki uvjeti u lipnju bili 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 xml:space="preserve">nešto </w:t>
      </w:r>
      <w:r w:rsidRPr="00DC26AD">
        <w:rPr>
          <w:rFonts w:asciiTheme="majorHAnsi" w:hAnsiTheme="majorHAnsi" w:cstheme="majorHAnsi"/>
          <w:iCs/>
          <w:sz w:val="24"/>
          <w:szCs w:val="24"/>
        </w:rPr>
        <w:t>pogodni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>ji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odlučil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>i smo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da se ide s organizacijom i realizacijom manifestacije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 xml:space="preserve">. 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Manifestacija je trajala </w:t>
      </w:r>
      <w:r w:rsidR="00D471F8" w:rsidRPr="00DC26AD">
        <w:rPr>
          <w:rFonts w:asciiTheme="majorHAnsi" w:hAnsiTheme="majorHAnsi" w:cstheme="majorHAnsi"/>
          <w:iCs/>
          <w:sz w:val="24"/>
          <w:szCs w:val="24"/>
        </w:rPr>
        <w:t>2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dana. Na organizaciju manifestacij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>e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potrošeno je 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 xml:space="preserve">150.364,62 </w:t>
      </w:r>
      <w:r w:rsidRPr="00DC26AD">
        <w:rPr>
          <w:rFonts w:asciiTheme="majorHAnsi" w:hAnsiTheme="majorHAnsi" w:cstheme="majorHAnsi"/>
          <w:iCs/>
          <w:sz w:val="24"/>
          <w:szCs w:val="24"/>
        </w:rPr>
        <w:t>kn. Troškovi organizacije obuhvaćaju koncerte umjetnika (</w:t>
      </w:r>
      <w:r w:rsidR="00BA03CC" w:rsidRPr="00DC26AD">
        <w:rPr>
          <w:rFonts w:asciiTheme="majorHAnsi" w:hAnsiTheme="majorHAnsi" w:cstheme="majorHAnsi"/>
          <w:iCs/>
          <w:sz w:val="24"/>
          <w:szCs w:val="24"/>
        </w:rPr>
        <w:t xml:space="preserve">Sinovi ravnice, </w:t>
      </w:r>
      <w:r w:rsidRPr="00DC26AD">
        <w:rPr>
          <w:rFonts w:asciiTheme="majorHAnsi" w:hAnsiTheme="majorHAnsi" w:cstheme="majorHAnsi"/>
          <w:iCs/>
          <w:sz w:val="24"/>
          <w:szCs w:val="24"/>
        </w:rPr>
        <w:t>Allegro), nastupi kulturno umjetnički</w:t>
      </w:r>
      <w:r w:rsidR="00D471F8" w:rsidRPr="00DC26AD">
        <w:rPr>
          <w:rFonts w:asciiTheme="majorHAnsi" w:hAnsiTheme="majorHAnsi" w:cstheme="majorHAnsi"/>
          <w:iCs/>
          <w:sz w:val="24"/>
          <w:szCs w:val="24"/>
        </w:rPr>
        <w:t>h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društava, </w:t>
      </w:r>
      <w:r w:rsidR="00D471F8" w:rsidRPr="00DC26AD">
        <w:rPr>
          <w:rFonts w:asciiTheme="majorHAnsi" w:hAnsiTheme="majorHAnsi" w:cstheme="majorHAnsi"/>
          <w:iCs/>
          <w:sz w:val="24"/>
          <w:szCs w:val="24"/>
        </w:rPr>
        <w:t xml:space="preserve">nastup kazališta, </w:t>
      </w:r>
      <w:r w:rsidRPr="00DC26AD">
        <w:rPr>
          <w:rFonts w:asciiTheme="majorHAnsi" w:hAnsiTheme="majorHAnsi" w:cstheme="majorHAnsi"/>
          <w:iCs/>
          <w:sz w:val="24"/>
          <w:szCs w:val="24"/>
        </w:rPr>
        <w:t>reprezentacije, promotivnih materijala, oglašavanja i promocije, ZAMP, umjetničkih nastupa, suvenira, uređenje pozornice, osiguranje, čišćenje parka…</w:t>
      </w:r>
    </w:p>
    <w:p w14:paraId="0FDA5BCE" w14:textId="77777777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4700B71E" w14:textId="6DE99BE8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DC26AD">
        <w:rPr>
          <w:rFonts w:asciiTheme="majorHAnsi" w:hAnsiTheme="majorHAnsi" w:cstheme="majorHAnsi"/>
          <w:b/>
          <w:bCs/>
          <w:iCs/>
          <w:sz w:val="24"/>
          <w:szCs w:val="24"/>
        </w:rPr>
        <w:t>b)Sijelo pučkih pisaca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– održalo se u 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12. lipnja 2021. godine</w:t>
      </w:r>
      <w:r w:rsidRPr="00DC26AD">
        <w:rPr>
          <w:rFonts w:asciiTheme="majorHAnsi" w:hAnsiTheme="majorHAnsi" w:cstheme="majorHAnsi"/>
          <w:iCs/>
          <w:sz w:val="24"/>
          <w:szCs w:val="24"/>
        </w:rPr>
        <w:t>, a TZ općine Nijemci nije imala troškova za Sijelo pučkih pisaca.</w:t>
      </w:r>
    </w:p>
    <w:p w14:paraId="017DC61B" w14:textId="77777777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5125A2DE" w14:textId="7ADCA833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DC26AD">
        <w:rPr>
          <w:rFonts w:asciiTheme="majorHAnsi" w:hAnsiTheme="majorHAnsi" w:cstheme="majorHAnsi"/>
          <w:b/>
          <w:bCs/>
          <w:iCs/>
          <w:sz w:val="24"/>
          <w:szCs w:val="24"/>
        </w:rPr>
        <w:t>c)Našem selu s ljubavlju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– manifestacij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a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se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 xml:space="preserve"> nije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održala  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 xml:space="preserve">i TZ općine Nijemci nije imala troškova za Našem selu s ljubavlju. </w:t>
      </w:r>
    </w:p>
    <w:p w14:paraId="2BE60D2C" w14:textId="77777777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33940CDA" w14:textId="7796FEE5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DC26AD">
        <w:rPr>
          <w:rFonts w:asciiTheme="majorHAnsi" w:hAnsiTheme="majorHAnsi" w:cstheme="majorHAnsi"/>
          <w:b/>
          <w:bCs/>
          <w:iCs/>
          <w:sz w:val="24"/>
          <w:szCs w:val="24"/>
        </w:rPr>
        <w:t>d)Pokladno jahanje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– manifestacija se održala  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15</w:t>
      </w:r>
      <w:r w:rsidRPr="00DC26AD">
        <w:rPr>
          <w:rFonts w:asciiTheme="majorHAnsi" w:hAnsiTheme="majorHAnsi" w:cstheme="majorHAnsi"/>
          <w:iCs/>
          <w:sz w:val="24"/>
          <w:szCs w:val="24"/>
        </w:rPr>
        <w:t>.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Pr="00DC26AD">
        <w:rPr>
          <w:rFonts w:asciiTheme="majorHAnsi" w:hAnsiTheme="majorHAnsi" w:cstheme="majorHAnsi"/>
          <w:iCs/>
          <w:sz w:val="24"/>
          <w:szCs w:val="24"/>
        </w:rPr>
        <w:t>veljače 202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1</w:t>
      </w:r>
      <w:r w:rsidRPr="00DC26AD">
        <w:rPr>
          <w:rFonts w:asciiTheme="majorHAnsi" w:hAnsiTheme="majorHAnsi" w:cstheme="majorHAnsi"/>
          <w:iCs/>
          <w:sz w:val="24"/>
          <w:szCs w:val="24"/>
        </w:rPr>
        <w:t>. U organizaciju manifestacije utrošeno je 1.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320</w:t>
      </w:r>
      <w:r w:rsidRPr="00DC26AD">
        <w:rPr>
          <w:rFonts w:asciiTheme="majorHAnsi" w:hAnsiTheme="majorHAnsi" w:cstheme="majorHAnsi"/>
          <w:iCs/>
          <w:sz w:val="24"/>
          <w:szCs w:val="24"/>
        </w:rPr>
        <w:t>,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00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kn. </w:t>
      </w:r>
    </w:p>
    <w:p w14:paraId="51BDE60E" w14:textId="77777777" w:rsidR="000A22B8" w:rsidRPr="00DC26AD" w:rsidRDefault="000A22B8" w:rsidP="000A22B8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7D2F7F46" w14:textId="044904BA" w:rsidR="000A22B8" w:rsidRPr="00DC26AD" w:rsidRDefault="000A22B8" w:rsidP="000A22B8">
      <w:pPr>
        <w:jc w:val="both"/>
        <w:rPr>
          <w:rFonts w:asciiTheme="majorHAnsi" w:hAnsiTheme="majorHAnsi" w:cstheme="majorHAnsi"/>
          <w:iCs/>
          <w:sz w:val="24"/>
          <w:szCs w:val="24"/>
        </w:rPr>
      </w:pPr>
      <w:r w:rsidRPr="00DC26AD">
        <w:rPr>
          <w:rFonts w:asciiTheme="majorHAnsi" w:hAnsiTheme="majorHAnsi" w:cstheme="majorHAnsi"/>
          <w:b/>
          <w:bCs/>
          <w:iCs/>
          <w:sz w:val="24"/>
          <w:szCs w:val="24"/>
        </w:rPr>
        <w:t>e) Božić u Nijemcima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– za Božić u Nijemcima u Planu i programu rada za 202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>1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. godinu bio je planirani iznos od 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50.000,00</w:t>
      </w:r>
      <w:r w:rsidR="006F4386" w:rsidRPr="00DC26A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kn, 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 xml:space="preserve">ali </w:t>
      </w:r>
      <w:r w:rsidRPr="00DC26AD">
        <w:rPr>
          <w:rFonts w:asciiTheme="majorHAnsi" w:hAnsiTheme="majorHAnsi" w:cstheme="majorHAnsi"/>
          <w:iCs/>
          <w:sz w:val="24"/>
          <w:szCs w:val="24"/>
        </w:rPr>
        <w:t>krajem 20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21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., II. rebalansom smo sredstva planirali u iznosu od 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227.775,24 kn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te je do kraja godine utrošeno 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193.942,46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kn, a trošak obuhvaća  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5</w:t>
      </w:r>
      <w:r w:rsidRPr="00DC26AD">
        <w:rPr>
          <w:rFonts w:asciiTheme="majorHAnsi" w:hAnsiTheme="majorHAnsi" w:cstheme="majorHAnsi"/>
          <w:iCs/>
          <w:sz w:val="24"/>
          <w:szCs w:val="24"/>
        </w:rPr>
        <w:t>00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 xml:space="preserve"> prigodnih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božićn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i</w:t>
      </w:r>
      <w:r w:rsidR="00D25B50" w:rsidRPr="00DC26AD">
        <w:rPr>
          <w:rFonts w:asciiTheme="majorHAnsi" w:hAnsiTheme="majorHAnsi" w:cstheme="majorHAnsi"/>
          <w:iCs/>
          <w:sz w:val="24"/>
          <w:szCs w:val="24"/>
        </w:rPr>
        <w:t>h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paketić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>a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AD75DA" w:rsidRPr="00DC26AD">
        <w:rPr>
          <w:rFonts w:asciiTheme="majorHAnsi" w:hAnsiTheme="majorHAnsi" w:cstheme="majorHAnsi"/>
          <w:iCs/>
          <w:sz w:val="24"/>
          <w:szCs w:val="24"/>
        </w:rPr>
        <w:t xml:space="preserve">za djecu, </w:t>
      </w:r>
      <w:r w:rsidRPr="00DC26AD">
        <w:rPr>
          <w:rFonts w:asciiTheme="majorHAnsi" w:hAnsiTheme="majorHAnsi" w:cstheme="majorHAnsi"/>
          <w:iCs/>
          <w:sz w:val="24"/>
          <w:szCs w:val="24"/>
        </w:rPr>
        <w:t>TZO Nijemci sudjelovala je u trošku angažmana Djeda Božićnjak i njegovog pomagača koji su podijelili paketiće djeci</w:t>
      </w:r>
      <w:r w:rsidR="00D25B50" w:rsidRPr="00DC26AD">
        <w:rPr>
          <w:rFonts w:asciiTheme="majorHAnsi" w:hAnsiTheme="majorHAnsi" w:cstheme="majorHAnsi"/>
          <w:iCs/>
          <w:sz w:val="24"/>
          <w:szCs w:val="24"/>
        </w:rPr>
        <w:t>, zatim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D25B50" w:rsidRPr="00DC26AD">
        <w:rPr>
          <w:rFonts w:asciiTheme="majorHAnsi" w:hAnsiTheme="majorHAnsi" w:cstheme="majorHAnsi"/>
          <w:iCs/>
          <w:sz w:val="24"/>
          <w:szCs w:val="24"/>
        </w:rPr>
        <w:t xml:space="preserve">za troškove umjetnika (Indira, Alan </w:t>
      </w:r>
      <w:proofErr w:type="spellStart"/>
      <w:r w:rsidR="00D25B50" w:rsidRPr="00DC26AD">
        <w:rPr>
          <w:rFonts w:asciiTheme="majorHAnsi" w:hAnsiTheme="majorHAnsi" w:cstheme="majorHAnsi"/>
          <w:iCs/>
          <w:sz w:val="24"/>
          <w:szCs w:val="24"/>
        </w:rPr>
        <w:t>Hržica</w:t>
      </w:r>
      <w:proofErr w:type="spellEnd"/>
      <w:r w:rsidR="00D25B50" w:rsidRPr="00DC26AD">
        <w:rPr>
          <w:rFonts w:asciiTheme="majorHAnsi" w:hAnsiTheme="majorHAnsi" w:cstheme="majorHAnsi"/>
          <w:iCs/>
          <w:sz w:val="24"/>
          <w:szCs w:val="24"/>
        </w:rPr>
        <w:t xml:space="preserve">, Opća opasnost), catering za crkvene zborove.  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Ove godine </w:t>
      </w:r>
      <w:r w:rsidR="00D25B50" w:rsidRPr="00DC26AD">
        <w:rPr>
          <w:rFonts w:asciiTheme="majorHAnsi" w:hAnsiTheme="majorHAnsi" w:cstheme="majorHAnsi"/>
          <w:iCs/>
          <w:sz w:val="24"/>
          <w:szCs w:val="24"/>
        </w:rPr>
        <w:t xml:space="preserve">izradili smo jaslice u prirodnoj veličini i sašili kostime za lutke. </w:t>
      </w:r>
      <w:r w:rsidRPr="00DC26A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B9727E">
        <w:rPr>
          <w:rFonts w:asciiTheme="majorHAnsi" w:hAnsiTheme="majorHAnsi" w:cstheme="majorHAnsi"/>
          <w:iCs/>
          <w:sz w:val="24"/>
          <w:szCs w:val="24"/>
        </w:rPr>
        <w:t xml:space="preserve">Manifestacija je trajala od 28. studenog 2021. godine pa do 31. prosinca 2021. godine kada je organiziran doček Nove godine. </w:t>
      </w:r>
    </w:p>
    <w:p w14:paraId="2E0C716E" w14:textId="55655ADF" w:rsidR="000A22B8" w:rsidRDefault="00A677C2" w:rsidP="000A22B8">
      <w:pPr>
        <w:jc w:val="both"/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f) </w:t>
      </w:r>
      <w:r w:rsidR="000A22B8" w:rsidRPr="00DC26AD">
        <w:rPr>
          <w:rFonts w:asciiTheme="majorHAnsi" w:hAnsiTheme="majorHAnsi" w:cstheme="majorHAnsi"/>
          <w:b/>
          <w:bCs/>
          <w:iCs/>
          <w:sz w:val="24"/>
          <w:szCs w:val="24"/>
        </w:rPr>
        <w:t>RISS triatlon</w:t>
      </w:r>
      <w:r w:rsidR="000A22B8" w:rsidRPr="00DC26AD">
        <w:rPr>
          <w:rFonts w:asciiTheme="majorHAnsi" w:hAnsiTheme="majorHAnsi" w:cstheme="majorHAnsi"/>
          <w:iCs/>
          <w:sz w:val="24"/>
          <w:szCs w:val="24"/>
        </w:rPr>
        <w:t xml:space="preserve"> – manifestacija koja se održava već </w:t>
      </w:r>
      <w:r w:rsidR="00D25B50" w:rsidRPr="00DC26AD">
        <w:rPr>
          <w:rFonts w:asciiTheme="majorHAnsi" w:hAnsiTheme="majorHAnsi" w:cstheme="majorHAnsi"/>
          <w:iCs/>
          <w:sz w:val="24"/>
          <w:szCs w:val="24"/>
        </w:rPr>
        <w:t>7</w:t>
      </w:r>
      <w:r w:rsidR="000A22B8" w:rsidRPr="00DC26AD">
        <w:rPr>
          <w:rFonts w:asciiTheme="majorHAnsi" w:hAnsiTheme="majorHAnsi" w:cstheme="majorHAnsi"/>
          <w:iCs/>
          <w:sz w:val="24"/>
          <w:szCs w:val="24"/>
        </w:rPr>
        <w:t xml:space="preserve">. godinu zaredom u organizaciji Općine Nijemci, TZ općine Nijemci i triatlon TRI-Tim klub iz Osijeka. Triatlon se održao </w:t>
      </w:r>
      <w:r w:rsidR="00280FA9" w:rsidRPr="00DC26AD">
        <w:rPr>
          <w:rFonts w:asciiTheme="majorHAnsi" w:hAnsiTheme="majorHAnsi" w:cstheme="majorHAnsi"/>
          <w:iCs/>
          <w:sz w:val="24"/>
          <w:szCs w:val="24"/>
        </w:rPr>
        <w:t>28</w:t>
      </w:r>
      <w:r w:rsidR="000A22B8" w:rsidRPr="00DC26AD">
        <w:rPr>
          <w:rFonts w:asciiTheme="majorHAnsi" w:hAnsiTheme="majorHAnsi" w:cstheme="majorHAnsi"/>
          <w:iCs/>
          <w:sz w:val="24"/>
          <w:szCs w:val="24"/>
        </w:rPr>
        <w:t>.</w:t>
      </w:r>
      <w:r w:rsidR="00280FA9" w:rsidRPr="00DC26A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0A22B8" w:rsidRPr="00DC26AD">
        <w:rPr>
          <w:rFonts w:asciiTheme="majorHAnsi" w:hAnsiTheme="majorHAnsi" w:cstheme="majorHAnsi"/>
          <w:iCs/>
          <w:sz w:val="24"/>
          <w:szCs w:val="24"/>
        </w:rPr>
        <w:t>kolovoza 202</w:t>
      </w:r>
      <w:r w:rsidR="00280FA9" w:rsidRPr="00DC26AD">
        <w:rPr>
          <w:rFonts w:asciiTheme="majorHAnsi" w:hAnsiTheme="majorHAnsi" w:cstheme="majorHAnsi"/>
          <w:iCs/>
          <w:sz w:val="24"/>
          <w:szCs w:val="24"/>
        </w:rPr>
        <w:t>1</w:t>
      </w:r>
      <w:r w:rsidR="000A22B8" w:rsidRPr="00DC26AD">
        <w:rPr>
          <w:rFonts w:asciiTheme="majorHAnsi" w:hAnsiTheme="majorHAnsi" w:cstheme="majorHAnsi"/>
          <w:iCs/>
          <w:sz w:val="24"/>
          <w:szCs w:val="24"/>
        </w:rPr>
        <w:t xml:space="preserve">. godine. Ove godine troškovi organizacije su </w:t>
      </w:r>
      <w:r w:rsidR="00280FA9" w:rsidRPr="00DC26AD">
        <w:rPr>
          <w:rFonts w:asciiTheme="majorHAnsi" w:hAnsiTheme="majorHAnsi" w:cstheme="majorHAnsi"/>
          <w:iCs/>
          <w:sz w:val="24"/>
          <w:szCs w:val="24"/>
        </w:rPr>
        <w:t xml:space="preserve">planirani u iznosu prema Planu i programu za 2021. godinu od 30.000,00 kn, a ostvareno je 28.753,37 kn što je i plan prema II. rebalansu, a to znači da je izvršenje 100 %, a 3,04 % je </w:t>
      </w:r>
      <w:r w:rsidR="00DC26AD" w:rsidRPr="00DC26AD">
        <w:rPr>
          <w:rFonts w:asciiTheme="majorHAnsi" w:hAnsiTheme="majorHAnsi" w:cstheme="majorHAnsi"/>
          <w:iCs/>
          <w:sz w:val="24"/>
          <w:szCs w:val="24"/>
        </w:rPr>
        <w:t>udjela u ukupnim rashodima.</w:t>
      </w:r>
      <w:r w:rsidR="00DC26AD" w:rsidRPr="00DC26AD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  <w:t xml:space="preserve"> </w:t>
      </w:r>
      <w:r w:rsidR="00DC26AD" w:rsidRPr="00DC26AD">
        <w:rPr>
          <w:rFonts w:asciiTheme="majorHAnsi" w:hAnsiTheme="majorHAnsi" w:cstheme="majorHAnsi"/>
          <w:iCs/>
          <w:sz w:val="24"/>
          <w:szCs w:val="24"/>
        </w:rPr>
        <w:t xml:space="preserve">Trošak </w:t>
      </w:r>
      <w:r w:rsidR="000A22B8" w:rsidRPr="00DC26AD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  <w:t>obuhvaća reprezentacije, trošak tiskanja majica, medalja, pehara, radne snage.</w:t>
      </w:r>
    </w:p>
    <w:p w14:paraId="681CE353" w14:textId="49708ACB" w:rsidR="00DC26AD" w:rsidRPr="00DC26AD" w:rsidRDefault="00A677C2" w:rsidP="000A22B8">
      <w:pPr>
        <w:jc w:val="both"/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iCs/>
          <w:color w:val="000000"/>
          <w:sz w:val="24"/>
          <w:szCs w:val="24"/>
          <w:lang w:eastAsia="hr-HR"/>
        </w:rPr>
        <w:t xml:space="preserve">g) </w:t>
      </w:r>
      <w:r w:rsidR="00DC26AD" w:rsidRPr="00DC26AD">
        <w:rPr>
          <w:rFonts w:asciiTheme="majorHAnsi" w:eastAsia="Times New Roman" w:hAnsiTheme="majorHAnsi" w:cstheme="majorHAnsi"/>
          <w:b/>
          <w:bCs/>
          <w:iCs/>
          <w:color w:val="000000"/>
          <w:sz w:val="24"/>
          <w:szCs w:val="24"/>
          <w:lang w:eastAsia="hr-HR"/>
        </w:rPr>
        <w:t>Ljetna večer u Srijemu</w:t>
      </w:r>
      <w:r w:rsidR="00DC26AD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  <w:t xml:space="preserve"> - </w:t>
      </w:r>
      <w:r w:rsidR="00DC26AD" w:rsidRPr="00DC26AD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  <w:t>manifestacija se nije održala  i TZ općine Nijemci nije imala troškova</w:t>
      </w:r>
      <w:r w:rsidR="00DC26AD">
        <w:rPr>
          <w:rFonts w:asciiTheme="majorHAnsi" w:eastAsia="Times New Roman" w:hAnsiTheme="majorHAnsi" w:cstheme="majorHAnsi"/>
          <w:iCs/>
          <w:color w:val="000000"/>
          <w:sz w:val="24"/>
          <w:szCs w:val="24"/>
          <w:lang w:eastAsia="hr-HR"/>
        </w:rPr>
        <w:t xml:space="preserve"> za Ljetnu večer u Srijemu. </w:t>
      </w:r>
    </w:p>
    <w:bookmarkEnd w:id="6"/>
    <w:p w14:paraId="2A992996" w14:textId="46CD90AD" w:rsidR="007836D3" w:rsidRDefault="007836D3" w:rsidP="007836D3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</w:p>
    <w:p w14:paraId="57341437" w14:textId="7EF06E4E" w:rsidR="00DC26AD" w:rsidRDefault="00DC26AD" w:rsidP="00AB2D79">
      <w:pPr>
        <w:pStyle w:val="Naslov2"/>
        <w:numPr>
          <w:ilvl w:val="0"/>
          <w:numId w:val="31"/>
        </w:numPr>
      </w:pPr>
      <w:bookmarkStart w:id="7" w:name="_Toc98247995"/>
      <w:r w:rsidRPr="00DC26AD">
        <w:lastRenderedPageBreak/>
        <w:t>Podrška turističkoj industriji</w:t>
      </w:r>
      <w:bookmarkEnd w:id="7"/>
      <w:r w:rsidRPr="00DC26AD">
        <w:t xml:space="preserve"> </w:t>
      </w:r>
    </w:p>
    <w:p w14:paraId="2A7FE045" w14:textId="77777777" w:rsidR="00B9727E" w:rsidRPr="00B9727E" w:rsidRDefault="00DC26AD" w:rsidP="00B9727E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 w:rsidRPr="00DC26AD">
        <w:rPr>
          <w:rFonts w:asciiTheme="majorHAnsi" w:hAnsiTheme="majorHAnsi" w:cstheme="majorHAnsi"/>
          <w:spacing w:val="5"/>
          <w:sz w:val="24"/>
          <w:szCs w:val="24"/>
        </w:rPr>
        <w:t>TZ općine Nijemci kao dio podrške turističkoj industriji realizira</w:t>
      </w:r>
      <w:r w:rsidR="00BE4C0E">
        <w:rPr>
          <w:rFonts w:asciiTheme="majorHAnsi" w:hAnsiTheme="majorHAnsi" w:cstheme="majorHAnsi"/>
          <w:spacing w:val="5"/>
          <w:sz w:val="24"/>
          <w:szCs w:val="24"/>
        </w:rPr>
        <w:t>la</w:t>
      </w:r>
      <w:r w:rsidRPr="00DC26AD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BE4C0E">
        <w:rPr>
          <w:rFonts w:asciiTheme="majorHAnsi" w:hAnsiTheme="majorHAnsi" w:cstheme="majorHAnsi"/>
          <w:spacing w:val="5"/>
          <w:sz w:val="24"/>
          <w:szCs w:val="24"/>
        </w:rPr>
        <w:t>j</w:t>
      </w:r>
      <w:r w:rsidRPr="00DC26AD">
        <w:rPr>
          <w:rFonts w:asciiTheme="majorHAnsi" w:hAnsiTheme="majorHAnsi" w:cstheme="majorHAnsi"/>
          <w:spacing w:val="5"/>
          <w:sz w:val="24"/>
          <w:szCs w:val="24"/>
        </w:rPr>
        <w:t>e program „Putevima Srijema“. Turistima koji u Nijemce dođu posredstvom putničkih agencija omogućit će se aktivno sudjelovanje u programu. Isto tako, institucije i tvrtke s područja Općine Nijemci koji u Općini Nijemci organiziraju događanje koje generira noćenja i turistički promet imat će mogućnost korištenja programa Putevima Srijema uz zamolbu koju treba dostaviti Turističkoj zajednici općini Nijemci.</w:t>
      </w:r>
      <w:r w:rsidR="00BE4C0E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B9727E" w:rsidRPr="00B9727E">
        <w:rPr>
          <w:rFonts w:asciiTheme="majorHAnsi" w:hAnsiTheme="majorHAnsi" w:cstheme="majorHAnsi"/>
          <w:spacing w:val="5"/>
          <w:sz w:val="24"/>
          <w:szCs w:val="24"/>
        </w:rPr>
        <w:t>Putevima Srijema turistička je tura i novi turistički proizvod kojim turistički vodič na vrlo zanimljiv i specifičan način posjetitelje upoznaje s prošlošću i sadašnjošću općine Nijemci, uključujući posjetitelje da aktivno sudjeluju u programu.</w:t>
      </w:r>
    </w:p>
    <w:p w14:paraId="35CD80C0" w14:textId="06CB8752" w:rsidR="00BE4C0E" w:rsidRPr="00DC26AD" w:rsidRDefault="00BE4C0E" w:rsidP="00DC26AD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>
        <w:rPr>
          <w:rFonts w:asciiTheme="majorHAnsi" w:hAnsiTheme="majorHAnsi" w:cstheme="majorHAnsi"/>
          <w:spacing w:val="5"/>
          <w:sz w:val="24"/>
          <w:szCs w:val="24"/>
        </w:rPr>
        <w:t xml:space="preserve">Prema Planu i programu za 2021. godinu planirana sredstva su iznosila 16.000,00 kn, ali II. rebalansom je planiran iznos od 7.500,00 kn, a ostvareno je 7.225,00 kn što čini 96,33 % izvršenja i 0,76 % udjela u ukupnim rashodima. </w:t>
      </w:r>
    </w:p>
    <w:p w14:paraId="2C66858A" w14:textId="4446B428" w:rsidR="00DC26AD" w:rsidRDefault="00DC26AD" w:rsidP="00845306">
      <w:pPr>
        <w:pStyle w:val="Naslov1"/>
      </w:pPr>
    </w:p>
    <w:p w14:paraId="677A3939" w14:textId="323C76F6" w:rsidR="00BE4C0E" w:rsidRDefault="00A677C2" w:rsidP="00AB2D79">
      <w:pPr>
        <w:pStyle w:val="Naslov1"/>
        <w:numPr>
          <w:ilvl w:val="0"/>
          <w:numId w:val="30"/>
        </w:numPr>
      </w:pPr>
      <w:bookmarkStart w:id="8" w:name="_Toc98247996"/>
      <w:r>
        <w:t>KOMUNIKACIJA I OGLAŠAVANJE</w:t>
      </w:r>
      <w:bookmarkEnd w:id="8"/>
    </w:p>
    <w:p w14:paraId="01B66E8D" w14:textId="77777777" w:rsidR="00A677C2" w:rsidRDefault="00A677C2" w:rsidP="00A677C2">
      <w:pPr>
        <w:pStyle w:val="Odlomakpopisa"/>
        <w:shd w:val="clear" w:color="auto" w:fill="FFFFFF"/>
        <w:spacing w:line="252" w:lineRule="exact"/>
        <w:jc w:val="both"/>
        <w:rPr>
          <w:rFonts w:asciiTheme="majorHAnsi" w:hAnsiTheme="majorHAnsi" w:cstheme="majorHAnsi"/>
          <w:b/>
          <w:bCs/>
          <w:spacing w:val="5"/>
          <w:sz w:val="24"/>
          <w:szCs w:val="24"/>
        </w:rPr>
      </w:pPr>
    </w:p>
    <w:p w14:paraId="4ECE7C8C" w14:textId="541D26B9" w:rsidR="00A677C2" w:rsidRPr="00A677C2" w:rsidRDefault="00A677C2" w:rsidP="00AB2D79">
      <w:pPr>
        <w:pStyle w:val="Naslov2"/>
        <w:numPr>
          <w:ilvl w:val="0"/>
          <w:numId w:val="32"/>
        </w:numPr>
      </w:pPr>
      <w:bookmarkStart w:id="9" w:name="_Toc98247997"/>
      <w:r>
        <w:t>Sajmovi, posebne prezentacije i poslovne radionice</w:t>
      </w:r>
      <w:bookmarkEnd w:id="9"/>
    </w:p>
    <w:p w14:paraId="7A2CD520" w14:textId="243BBD30" w:rsidR="00A677C2" w:rsidRDefault="00A677C2" w:rsidP="00A677C2">
      <w:pPr>
        <w:jc w:val="both"/>
        <w:rPr>
          <w:rFonts w:asciiTheme="majorHAnsi" w:hAnsiTheme="majorHAnsi" w:cstheme="majorHAnsi"/>
          <w:sz w:val="24"/>
          <w:szCs w:val="24"/>
        </w:rPr>
      </w:pPr>
      <w:r w:rsidRPr="0027712C">
        <w:rPr>
          <w:rFonts w:asciiTheme="majorHAnsi" w:hAnsiTheme="majorHAnsi" w:cstheme="majorHAnsi"/>
          <w:sz w:val="24"/>
          <w:szCs w:val="24"/>
        </w:rPr>
        <w:t>U koordinaciji s TZ Vukovarsko – srijemske županije nastupili smo na sajmu</w:t>
      </w:r>
      <w:r w:rsidR="0027712C" w:rsidRPr="0027712C">
        <w:rPr>
          <w:rFonts w:asciiTheme="majorHAnsi" w:hAnsiTheme="majorHAnsi" w:cstheme="majorHAnsi"/>
          <w:sz w:val="24"/>
          <w:szCs w:val="24"/>
        </w:rPr>
        <w:t xml:space="preserve"> </w:t>
      </w:r>
      <w:r w:rsidR="00210481" w:rsidRPr="00210481">
        <w:rPr>
          <w:rFonts w:asciiTheme="majorHAnsi" w:hAnsiTheme="majorHAnsi" w:cstheme="majorHAnsi"/>
          <w:sz w:val="24"/>
          <w:szCs w:val="24"/>
        </w:rPr>
        <w:t xml:space="preserve">FESTIVAL WEEKEND DESTINACIJE  u Zagrebu za koji smo dali u tisak letak Brod Sveta Katarina, </w:t>
      </w:r>
      <w:proofErr w:type="spellStart"/>
      <w:r w:rsidR="00210481" w:rsidRPr="00210481">
        <w:rPr>
          <w:rFonts w:asciiTheme="majorHAnsi" w:hAnsiTheme="majorHAnsi" w:cstheme="majorHAnsi"/>
          <w:sz w:val="24"/>
          <w:szCs w:val="24"/>
        </w:rPr>
        <w:t>banner</w:t>
      </w:r>
      <w:proofErr w:type="spellEnd"/>
      <w:r w:rsidR="00210481" w:rsidRPr="00210481">
        <w:rPr>
          <w:rFonts w:asciiTheme="majorHAnsi" w:hAnsiTheme="majorHAnsi" w:cstheme="majorHAnsi"/>
          <w:sz w:val="24"/>
          <w:szCs w:val="24"/>
        </w:rPr>
        <w:t xml:space="preserve"> i ostale promidžbene materijale</w:t>
      </w:r>
      <w:r w:rsidR="00210481">
        <w:rPr>
          <w:rFonts w:asciiTheme="majorHAnsi" w:hAnsiTheme="majorHAnsi" w:cstheme="majorHAnsi"/>
          <w:sz w:val="24"/>
          <w:szCs w:val="24"/>
        </w:rPr>
        <w:t>,</w:t>
      </w:r>
      <w:r w:rsidR="0027712C" w:rsidRPr="0027712C">
        <w:rPr>
          <w:rFonts w:asciiTheme="majorHAnsi" w:hAnsiTheme="majorHAnsi" w:cstheme="majorHAnsi"/>
          <w:sz w:val="24"/>
          <w:szCs w:val="24"/>
        </w:rPr>
        <w:t xml:space="preserve"> </w:t>
      </w:r>
      <w:r w:rsidR="00857C3E">
        <w:rPr>
          <w:rFonts w:asciiTheme="majorHAnsi" w:hAnsiTheme="majorHAnsi" w:cstheme="majorHAnsi"/>
          <w:sz w:val="24"/>
          <w:szCs w:val="24"/>
        </w:rPr>
        <w:t>također smo ondje</w:t>
      </w:r>
      <w:r w:rsidRPr="0027712C">
        <w:rPr>
          <w:rFonts w:asciiTheme="majorHAnsi" w:hAnsiTheme="majorHAnsi" w:cstheme="majorHAnsi"/>
          <w:sz w:val="24"/>
          <w:szCs w:val="24"/>
        </w:rPr>
        <w:t xml:space="preserve"> predstavili naše subjekte i ponudu destinacije.  </w:t>
      </w:r>
      <w:r w:rsidR="0027712C" w:rsidRPr="0027712C">
        <w:rPr>
          <w:rFonts w:asciiTheme="majorHAnsi" w:hAnsiTheme="majorHAnsi" w:cstheme="majorHAnsi"/>
          <w:sz w:val="24"/>
          <w:szCs w:val="24"/>
        </w:rPr>
        <w:t xml:space="preserve">Planirana sredstva su bila u iznosu od 9.000,00 kn, a ostvareno je 8.053,50 kn što čini 89,48 % izvršenja i 0,84 % udjela u ukupnim rashodima. </w:t>
      </w:r>
    </w:p>
    <w:p w14:paraId="3060B0B7" w14:textId="406AE9E3" w:rsidR="0027712C" w:rsidRPr="0027712C" w:rsidRDefault="0027712C" w:rsidP="00AB2D79">
      <w:pPr>
        <w:pStyle w:val="Naslov2"/>
        <w:numPr>
          <w:ilvl w:val="0"/>
          <w:numId w:val="32"/>
        </w:numPr>
      </w:pPr>
      <w:bookmarkStart w:id="10" w:name="_Toc98247998"/>
      <w:r w:rsidRPr="0027712C">
        <w:t>Suradnja s organizatorima putovanja</w:t>
      </w:r>
      <w:bookmarkEnd w:id="10"/>
      <w:r w:rsidRPr="0027712C">
        <w:t xml:space="preserve"> </w:t>
      </w:r>
    </w:p>
    <w:p w14:paraId="3101BF1A" w14:textId="35E6AFFA" w:rsidR="0027712C" w:rsidRDefault="0027712C" w:rsidP="0027712C">
      <w:pPr>
        <w:jc w:val="both"/>
        <w:rPr>
          <w:rFonts w:asciiTheme="majorHAnsi" w:hAnsiTheme="majorHAnsi" w:cstheme="majorHAnsi"/>
          <w:sz w:val="24"/>
          <w:szCs w:val="24"/>
        </w:rPr>
      </w:pPr>
      <w:r w:rsidRPr="0027712C">
        <w:rPr>
          <w:rFonts w:asciiTheme="majorHAnsi" w:hAnsiTheme="majorHAnsi" w:cstheme="majorHAnsi"/>
          <w:sz w:val="24"/>
          <w:szCs w:val="24"/>
        </w:rPr>
        <w:t>TZ općine Nijemci pruži</w:t>
      </w:r>
      <w:r>
        <w:rPr>
          <w:rFonts w:asciiTheme="majorHAnsi" w:hAnsiTheme="majorHAnsi" w:cstheme="majorHAnsi"/>
          <w:sz w:val="24"/>
          <w:szCs w:val="24"/>
        </w:rPr>
        <w:t>la</w:t>
      </w:r>
      <w:r w:rsidRPr="0027712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je</w:t>
      </w:r>
      <w:r w:rsidRPr="0027712C">
        <w:rPr>
          <w:rFonts w:asciiTheme="majorHAnsi" w:hAnsiTheme="majorHAnsi" w:cstheme="majorHAnsi"/>
          <w:sz w:val="24"/>
          <w:szCs w:val="24"/>
        </w:rPr>
        <w:t xml:space="preserve"> potrebnu podršku koja se odnosi na organizaciju studijskih putovanja novinara, predstavnika organizatora putovanja i agenata u suradnji s TZ Vukovarsko – srijemske županije i Hrvatske turističke zajednice. </w:t>
      </w:r>
      <w:r>
        <w:rPr>
          <w:rFonts w:asciiTheme="majorHAnsi" w:hAnsiTheme="majorHAnsi" w:cstheme="majorHAnsi"/>
          <w:sz w:val="24"/>
          <w:szCs w:val="24"/>
        </w:rPr>
        <w:t>Planirani trošak bio je u iznosu od 2.000,00 kn, a ostvareno je 1.709,86 kn što čini 85,49</w:t>
      </w:r>
      <w:r w:rsidR="00937B18">
        <w:rPr>
          <w:rFonts w:asciiTheme="majorHAnsi" w:hAnsiTheme="majorHAnsi" w:cstheme="majorHAnsi"/>
          <w:sz w:val="24"/>
          <w:szCs w:val="24"/>
        </w:rPr>
        <w:t xml:space="preserve"> % izvršenja i 0,18 % udjela u ukupnim rashodima. </w:t>
      </w:r>
    </w:p>
    <w:p w14:paraId="26985579" w14:textId="5CA2E152" w:rsidR="00937B18" w:rsidRDefault="00937B18" w:rsidP="00AB2D79">
      <w:pPr>
        <w:pStyle w:val="Naslov2"/>
        <w:numPr>
          <w:ilvl w:val="0"/>
          <w:numId w:val="32"/>
        </w:numPr>
      </w:pPr>
      <w:bookmarkStart w:id="11" w:name="_Toc98247999"/>
      <w:r w:rsidRPr="00937B18">
        <w:t>Kreiranje promotivnog materijala</w:t>
      </w:r>
      <w:bookmarkEnd w:id="11"/>
    </w:p>
    <w:p w14:paraId="6926F139" w14:textId="77777777" w:rsidR="00937B18" w:rsidRDefault="00937B18" w:rsidP="00937B18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12" w:name="_Hlk98098817"/>
      <w:r w:rsidRPr="00937B18">
        <w:rPr>
          <w:rFonts w:asciiTheme="majorHAnsi" w:hAnsiTheme="majorHAnsi" w:cstheme="majorHAnsi"/>
          <w:sz w:val="24"/>
          <w:szCs w:val="24"/>
        </w:rPr>
        <w:t xml:space="preserve">U 2021. </w:t>
      </w:r>
      <w:r>
        <w:rPr>
          <w:rFonts w:asciiTheme="majorHAnsi" w:hAnsiTheme="majorHAnsi" w:cstheme="majorHAnsi"/>
          <w:sz w:val="24"/>
          <w:szCs w:val="24"/>
        </w:rPr>
        <w:t>dali smo u tisak</w:t>
      </w:r>
      <w:r w:rsidRPr="00937B18">
        <w:rPr>
          <w:rFonts w:asciiTheme="majorHAnsi" w:hAnsiTheme="majorHAnsi" w:cstheme="majorHAnsi"/>
          <w:sz w:val="24"/>
          <w:szCs w:val="24"/>
        </w:rPr>
        <w:t xml:space="preserve"> brošuru za koju smo u 2020. godini napravili pripremu za tisak, te prijevode na engleski i njemački jezik. Također, tiska</w:t>
      </w:r>
      <w:r>
        <w:rPr>
          <w:rFonts w:asciiTheme="majorHAnsi" w:hAnsiTheme="majorHAnsi" w:cstheme="majorHAnsi"/>
          <w:sz w:val="24"/>
          <w:szCs w:val="24"/>
        </w:rPr>
        <w:t>li smo</w:t>
      </w:r>
      <w:r w:rsidRPr="00937B18">
        <w:rPr>
          <w:rFonts w:asciiTheme="majorHAnsi" w:hAnsiTheme="majorHAnsi" w:cstheme="majorHAnsi"/>
          <w:sz w:val="24"/>
          <w:szCs w:val="24"/>
        </w:rPr>
        <w:t xml:space="preserve"> letak Zavičajni muzej „Luka Natali“ za koji je priprema napravljena u 2020. godini. Brošure i letci usklađeni su s vizualnim identitetom TZ Vukovarsko-srijemske županije – destinacija Srijem i Slavonija. TZ općine Nijemci u svim promotivnim aktivnostima koristi logo i slogan koji je dio „Vizualnog identiteta TZ Vukovarsko – srijemske županije- destinacija Srijem i Slavonija“.</w:t>
      </w:r>
      <w:r>
        <w:rPr>
          <w:rFonts w:asciiTheme="majorHAnsi" w:hAnsiTheme="majorHAnsi" w:cstheme="majorHAnsi"/>
          <w:sz w:val="24"/>
          <w:szCs w:val="24"/>
        </w:rPr>
        <w:t xml:space="preserve"> Planirani troškovi su u iznosu od 39.000,00 kn, a ostvareno je 37.571,25 kn što čini 96,34 % izvršenja i 3,93 % udjela u ukupnim rashodima. </w:t>
      </w:r>
    </w:p>
    <w:p w14:paraId="75A0845C" w14:textId="6175211A" w:rsidR="00937B18" w:rsidRDefault="00937B18" w:rsidP="00AB2D79">
      <w:pPr>
        <w:pStyle w:val="Naslov2"/>
        <w:numPr>
          <w:ilvl w:val="0"/>
          <w:numId w:val="32"/>
        </w:numPr>
      </w:pPr>
      <w:bookmarkStart w:id="13" w:name="_Toc98248000"/>
      <w:bookmarkEnd w:id="12"/>
      <w:r w:rsidRPr="00937B18">
        <w:t>Internetske stranice</w:t>
      </w:r>
      <w:bookmarkEnd w:id="13"/>
      <w:r w:rsidRPr="00937B18">
        <w:t xml:space="preserve">  </w:t>
      </w:r>
    </w:p>
    <w:p w14:paraId="09411ADD" w14:textId="366C106B" w:rsidR="00937B18" w:rsidRPr="00937B18" w:rsidRDefault="00937B18" w:rsidP="00937B18">
      <w:pPr>
        <w:jc w:val="both"/>
        <w:rPr>
          <w:rFonts w:asciiTheme="majorHAnsi" w:hAnsiTheme="majorHAnsi" w:cstheme="majorHAnsi"/>
          <w:sz w:val="24"/>
          <w:szCs w:val="24"/>
        </w:rPr>
      </w:pPr>
      <w:r w:rsidRPr="00937B18">
        <w:rPr>
          <w:rFonts w:asciiTheme="majorHAnsi" w:hAnsiTheme="majorHAnsi" w:cstheme="majorHAnsi"/>
          <w:sz w:val="24"/>
          <w:szCs w:val="24"/>
        </w:rPr>
        <w:t>Internet stranice i upravljanje internet stranicama trošak je koji je neophodan radi potreba održavanja stranica (</w:t>
      </w:r>
      <w:hyperlink r:id="rId11" w:history="1">
        <w:r w:rsidRPr="00937B18">
          <w:rPr>
            <w:rStyle w:val="Hiperveza"/>
            <w:rFonts w:asciiTheme="majorHAnsi" w:hAnsiTheme="majorHAnsi" w:cstheme="majorHAnsi"/>
            <w:sz w:val="24"/>
            <w:szCs w:val="24"/>
          </w:rPr>
          <w:t>www.tz-opcinanijemci.hr</w:t>
        </w:r>
      </w:hyperlink>
      <w:r w:rsidRPr="00937B18">
        <w:rPr>
          <w:rFonts w:asciiTheme="majorHAnsi" w:hAnsiTheme="majorHAnsi" w:cstheme="majorHAnsi"/>
          <w:sz w:val="24"/>
          <w:szCs w:val="24"/>
        </w:rPr>
        <w:t>)  i softverskog sustava, kao i osiguravanje digitalne pristupačnost za osobe s invaliditetom da nemaju nikakvih prepreka u interakciji ili pristupu digitalnom sadržaju. U 2021.godini internetsku stranicu preve</w:t>
      </w:r>
      <w:r>
        <w:rPr>
          <w:rFonts w:asciiTheme="majorHAnsi" w:hAnsiTheme="majorHAnsi" w:cstheme="majorHAnsi"/>
          <w:sz w:val="24"/>
          <w:szCs w:val="24"/>
        </w:rPr>
        <w:t xml:space="preserve">li smo </w:t>
      </w:r>
      <w:r w:rsidRPr="00937B18">
        <w:rPr>
          <w:rFonts w:asciiTheme="majorHAnsi" w:hAnsiTheme="majorHAnsi" w:cstheme="majorHAnsi"/>
          <w:sz w:val="24"/>
          <w:szCs w:val="24"/>
        </w:rPr>
        <w:t xml:space="preserve">na engleski i </w:t>
      </w:r>
      <w:r w:rsidRPr="00937B18">
        <w:rPr>
          <w:rFonts w:asciiTheme="majorHAnsi" w:hAnsiTheme="majorHAnsi" w:cstheme="majorHAnsi"/>
          <w:sz w:val="24"/>
          <w:szCs w:val="24"/>
        </w:rPr>
        <w:lastRenderedPageBreak/>
        <w:t xml:space="preserve">njemački jezik, za što je </w:t>
      </w:r>
      <w:r w:rsidR="0062604A">
        <w:rPr>
          <w:rFonts w:asciiTheme="majorHAnsi" w:hAnsiTheme="majorHAnsi" w:cstheme="majorHAnsi"/>
          <w:sz w:val="24"/>
          <w:szCs w:val="24"/>
        </w:rPr>
        <w:t xml:space="preserve">bilo </w:t>
      </w:r>
      <w:r w:rsidRPr="00937B18">
        <w:rPr>
          <w:rFonts w:asciiTheme="majorHAnsi" w:hAnsiTheme="majorHAnsi" w:cstheme="majorHAnsi"/>
          <w:sz w:val="24"/>
          <w:szCs w:val="24"/>
        </w:rPr>
        <w:t>potrebno napraviti tekstove na navedenim jezicima i kupiti jezične alate za internetsku stranicu.</w:t>
      </w:r>
    </w:p>
    <w:p w14:paraId="604A07E0" w14:textId="5DAA9946" w:rsidR="0062604A" w:rsidRDefault="00937B18" w:rsidP="00937B18">
      <w:pPr>
        <w:jc w:val="both"/>
        <w:rPr>
          <w:rFonts w:asciiTheme="majorHAnsi" w:hAnsiTheme="majorHAnsi" w:cstheme="majorHAnsi"/>
          <w:sz w:val="24"/>
          <w:szCs w:val="24"/>
        </w:rPr>
      </w:pPr>
      <w:r w:rsidRPr="00937B18">
        <w:rPr>
          <w:rFonts w:asciiTheme="majorHAnsi" w:hAnsiTheme="majorHAnsi" w:cstheme="majorHAnsi"/>
          <w:sz w:val="24"/>
          <w:szCs w:val="24"/>
        </w:rPr>
        <w:t xml:space="preserve">U sklopu portala </w:t>
      </w:r>
      <w:hyperlink r:id="rId12" w:history="1">
        <w:r w:rsidRPr="00937B18">
          <w:rPr>
            <w:rStyle w:val="Hiperveza"/>
            <w:rFonts w:asciiTheme="majorHAnsi" w:hAnsiTheme="majorHAnsi" w:cstheme="majorHAnsi"/>
            <w:sz w:val="24"/>
            <w:szCs w:val="24"/>
          </w:rPr>
          <w:t>www.croatia.hr</w:t>
        </w:r>
      </w:hyperlink>
      <w:r w:rsidRPr="00937B18">
        <w:rPr>
          <w:rFonts w:asciiTheme="majorHAnsi" w:hAnsiTheme="majorHAnsi" w:cstheme="majorHAnsi"/>
          <w:sz w:val="24"/>
          <w:szCs w:val="24"/>
        </w:rPr>
        <w:t xml:space="preserve"> kao dio projekta Hrvatski digitalni turizam stv</w:t>
      </w:r>
      <w:r w:rsidR="0062604A">
        <w:rPr>
          <w:rFonts w:asciiTheme="majorHAnsi" w:hAnsiTheme="majorHAnsi" w:cstheme="majorHAnsi"/>
          <w:sz w:val="24"/>
          <w:szCs w:val="24"/>
        </w:rPr>
        <w:t>orila</w:t>
      </w:r>
      <w:r w:rsidRPr="00937B18">
        <w:rPr>
          <w:rFonts w:asciiTheme="majorHAnsi" w:hAnsiTheme="majorHAnsi" w:cstheme="majorHAnsi"/>
          <w:sz w:val="24"/>
          <w:szCs w:val="24"/>
        </w:rPr>
        <w:t xml:space="preserve"> se nova jedinstvena stranica koja</w:t>
      </w:r>
      <w:r w:rsidR="0062604A">
        <w:rPr>
          <w:rFonts w:asciiTheme="majorHAnsi" w:hAnsiTheme="majorHAnsi" w:cstheme="majorHAnsi"/>
          <w:sz w:val="24"/>
          <w:szCs w:val="24"/>
        </w:rPr>
        <w:t xml:space="preserve"> će</w:t>
      </w:r>
      <w:r w:rsidRPr="00937B18">
        <w:rPr>
          <w:rFonts w:asciiTheme="majorHAnsi" w:hAnsiTheme="majorHAnsi" w:cstheme="majorHAnsi"/>
          <w:sz w:val="24"/>
          <w:szCs w:val="24"/>
        </w:rPr>
        <w:t xml:space="preserve"> prikazivati cjelovitu turističku ponudu Hrvatske, uključujući i Nijemce te omogućiti promociju svake destinacije. Za navedeni portal </w:t>
      </w:r>
      <w:r w:rsidR="0062604A">
        <w:rPr>
          <w:rFonts w:asciiTheme="majorHAnsi" w:hAnsiTheme="majorHAnsi" w:cstheme="majorHAnsi"/>
          <w:sz w:val="24"/>
          <w:szCs w:val="24"/>
        </w:rPr>
        <w:t xml:space="preserve">bilo je </w:t>
      </w:r>
      <w:r w:rsidRPr="00937B18">
        <w:rPr>
          <w:rFonts w:asciiTheme="majorHAnsi" w:hAnsiTheme="majorHAnsi" w:cstheme="majorHAnsi"/>
          <w:sz w:val="24"/>
          <w:szCs w:val="24"/>
        </w:rPr>
        <w:t>potrebno</w:t>
      </w:r>
      <w:r w:rsidR="0062604A">
        <w:rPr>
          <w:rFonts w:asciiTheme="majorHAnsi" w:hAnsiTheme="majorHAnsi" w:cstheme="majorHAnsi"/>
          <w:sz w:val="24"/>
          <w:szCs w:val="24"/>
        </w:rPr>
        <w:t xml:space="preserve"> nabaviti</w:t>
      </w:r>
      <w:r w:rsidRPr="00937B18">
        <w:rPr>
          <w:rFonts w:asciiTheme="majorHAnsi" w:hAnsiTheme="majorHAnsi" w:cstheme="majorHAnsi"/>
          <w:sz w:val="24"/>
          <w:szCs w:val="24"/>
        </w:rPr>
        <w:t xml:space="preserve">  sadržaje, tekstove, fotografije</w:t>
      </w:r>
      <w:r w:rsidR="0062604A">
        <w:rPr>
          <w:rFonts w:asciiTheme="majorHAnsi" w:hAnsiTheme="majorHAnsi" w:cstheme="majorHAnsi"/>
          <w:sz w:val="24"/>
          <w:szCs w:val="24"/>
        </w:rPr>
        <w:t xml:space="preserve"> i</w:t>
      </w:r>
      <w:r w:rsidRPr="00937B18">
        <w:rPr>
          <w:rFonts w:asciiTheme="majorHAnsi" w:hAnsiTheme="majorHAnsi" w:cstheme="majorHAnsi"/>
          <w:sz w:val="24"/>
          <w:szCs w:val="24"/>
        </w:rPr>
        <w:t xml:space="preserve"> prilagoditi uvjetima koji su navedeni.</w:t>
      </w:r>
    </w:p>
    <w:p w14:paraId="4ACE07E7" w14:textId="2F2F5A35" w:rsidR="0027712C" w:rsidRDefault="0062604A" w:rsidP="0027712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Planirani troškovi su bili u iznosu od 14.000,00 kn, a ostvareno je 12.500,00 kn što čini 89,29 % izvršenja te 1,31 % udjela u ukupnim rashodima. </w:t>
      </w:r>
    </w:p>
    <w:p w14:paraId="46A47839" w14:textId="056B2822" w:rsidR="0062604A" w:rsidRDefault="0062604A" w:rsidP="00AB2D79">
      <w:pPr>
        <w:pStyle w:val="Naslov1"/>
        <w:numPr>
          <w:ilvl w:val="0"/>
          <w:numId w:val="30"/>
        </w:numPr>
      </w:pPr>
      <w:bookmarkStart w:id="14" w:name="_Toc98248001"/>
      <w:r w:rsidRPr="0062604A">
        <w:t>DESTINACIJSKI MENADŽMENT</w:t>
      </w:r>
      <w:bookmarkEnd w:id="14"/>
      <w:r w:rsidRPr="0062604A">
        <w:t xml:space="preserve"> </w:t>
      </w:r>
    </w:p>
    <w:p w14:paraId="7AEF5CBE" w14:textId="77777777" w:rsidR="00AB2D79" w:rsidRPr="00AB2D79" w:rsidRDefault="00AB2D79" w:rsidP="00AB2D79"/>
    <w:p w14:paraId="7E881B63" w14:textId="4C40EED9" w:rsidR="00AB2D79" w:rsidRPr="00AB2D79" w:rsidRDefault="0062604A" w:rsidP="00AB2D79">
      <w:pPr>
        <w:pStyle w:val="Naslov2"/>
        <w:numPr>
          <w:ilvl w:val="0"/>
          <w:numId w:val="33"/>
        </w:numPr>
      </w:pPr>
      <w:bookmarkStart w:id="15" w:name="_Hlk98098855"/>
      <w:bookmarkStart w:id="16" w:name="_Toc98248002"/>
      <w:r>
        <w:t>Upravljanje kvalitetom u destinaciji</w:t>
      </w:r>
      <w:bookmarkEnd w:id="16"/>
    </w:p>
    <w:p w14:paraId="392E6B03" w14:textId="13F02741" w:rsidR="00664FF4" w:rsidRDefault="0062604A" w:rsidP="0062604A">
      <w:pPr>
        <w:jc w:val="both"/>
        <w:rPr>
          <w:rFonts w:asciiTheme="majorHAnsi" w:hAnsiTheme="majorHAnsi" w:cstheme="majorHAnsi"/>
          <w:sz w:val="24"/>
          <w:szCs w:val="24"/>
        </w:rPr>
      </w:pPr>
      <w:r w:rsidRPr="0062604A">
        <w:rPr>
          <w:rFonts w:asciiTheme="majorHAnsi" w:hAnsiTheme="majorHAnsi" w:cstheme="majorHAnsi"/>
          <w:sz w:val="24"/>
          <w:szCs w:val="24"/>
        </w:rPr>
        <w:t xml:space="preserve">IQM </w:t>
      </w:r>
      <w:proofErr w:type="spellStart"/>
      <w:r w:rsidRPr="0062604A">
        <w:rPr>
          <w:rFonts w:asciiTheme="majorHAnsi" w:hAnsiTheme="majorHAnsi" w:cstheme="majorHAnsi"/>
          <w:sz w:val="24"/>
          <w:szCs w:val="24"/>
        </w:rPr>
        <w:t>Destination</w:t>
      </w:r>
      <w:proofErr w:type="spellEnd"/>
      <w:r w:rsidRPr="0062604A">
        <w:rPr>
          <w:rFonts w:asciiTheme="majorHAnsi" w:hAnsiTheme="majorHAnsi" w:cstheme="majorHAnsi"/>
          <w:sz w:val="24"/>
          <w:szCs w:val="24"/>
        </w:rPr>
        <w:t xml:space="preserve">, Dunav i Srijem je projekt čiju smo provedbu započeli još u listopadu 2020. godine s TZ grada Vukovara, Gradom Ilokom i tvrtkom </w:t>
      </w:r>
      <w:proofErr w:type="spellStart"/>
      <w:r w:rsidRPr="0062604A">
        <w:rPr>
          <w:rFonts w:asciiTheme="majorHAnsi" w:hAnsiTheme="majorHAnsi" w:cstheme="majorHAnsi"/>
          <w:sz w:val="24"/>
          <w:szCs w:val="24"/>
        </w:rPr>
        <w:t>Feel</w:t>
      </w:r>
      <w:proofErr w:type="spellEnd"/>
      <w:r w:rsidRPr="0062604A">
        <w:rPr>
          <w:rFonts w:asciiTheme="majorHAnsi" w:hAnsiTheme="majorHAnsi" w:cstheme="majorHAnsi"/>
          <w:sz w:val="24"/>
          <w:szCs w:val="24"/>
        </w:rPr>
        <w:t xml:space="preserve"> IQM. Projekt IQM </w:t>
      </w:r>
      <w:proofErr w:type="spellStart"/>
      <w:r w:rsidRPr="0062604A">
        <w:rPr>
          <w:rFonts w:asciiTheme="majorHAnsi" w:hAnsiTheme="majorHAnsi" w:cstheme="majorHAnsi"/>
          <w:sz w:val="24"/>
          <w:szCs w:val="24"/>
        </w:rPr>
        <w:t>Destination</w:t>
      </w:r>
      <w:proofErr w:type="spellEnd"/>
      <w:r w:rsidRPr="0062604A">
        <w:rPr>
          <w:rFonts w:asciiTheme="majorHAnsi" w:hAnsiTheme="majorHAnsi" w:cstheme="majorHAnsi"/>
          <w:sz w:val="24"/>
          <w:szCs w:val="24"/>
        </w:rPr>
        <w:t xml:space="preserve"> temelji se na održivom razvoju i odgovornom turizmu, postavljanju standarda kvalitete i praćenju rezultata, koordinacije i razvijanje novih turističkih proizvoda, stvaranje nove ekonomske vrijednosti . Cilj je kvalitativno gospodarski jačati cijelu zajednicu u segmentu turizma, osnažiti zajedničku suradnju, sinergiju u destinaciji, komunikaciju i poticaj na izvrsnost. Integralno upravljanje kvalitetom radi se prema metodologiji UNWTO (Svjetske turističke organizacije). U sklopu projekta ima</w:t>
      </w:r>
      <w:r w:rsidR="00664FF4">
        <w:rPr>
          <w:rFonts w:asciiTheme="majorHAnsi" w:hAnsiTheme="majorHAnsi" w:cstheme="majorHAnsi"/>
          <w:sz w:val="24"/>
          <w:szCs w:val="24"/>
        </w:rPr>
        <w:t>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</w:t>
      </w:r>
      <w:r w:rsidR="00664FF4">
        <w:rPr>
          <w:rFonts w:asciiTheme="majorHAnsi" w:hAnsiTheme="majorHAnsi" w:cstheme="majorHAnsi"/>
          <w:sz w:val="24"/>
          <w:szCs w:val="24"/>
        </w:rPr>
        <w:t>smo</w:t>
      </w:r>
      <w:r w:rsidRPr="0062604A">
        <w:rPr>
          <w:rFonts w:asciiTheme="majorHAnsi" w:hAnsiTheme="majorHAnsi" w:cstheme="majorHAnsi"/>
          <w:sz w:val="24"/>
          <w:szCs w:val="24"/>
        </w:rPr>
        <w:t xml:space="preserve"> tematske koordinacije na kojima s</w:t>
      </w:r>
      <w:r w:rsidR="00664FF4">
        <w:rPr>
          <w:rFonts w:asciiTheme="majorHAnsi" w:hAnsiTheme="majorHAnsi" w:cstheme="majorHAnsi"/>
          <w:sz w:val="24"/>
          <w:szCs w:val="24"/>
        </w:rPr>
        <w:t>mo</w:t>
      </w:r>
      <w:r w:rsidRPr="0062604A">
        <w:rPr>
          <w:rFonts w:asciiTheme="majorHAnsi" w:hAnsiTheme="majorHAnsi" w:cstheme="majorHAnsi"/>
          <w:sz w:val="24"/>
          <w:szCs w:val="24"/>
        </w:rPr>
        <w:t xml:space="preserve">  konkretizira</w:t>
      </w:r>
      <w:r w:rsidR="00664FF4">
        <w:rPr>
          <w:rFonts w:asciiTheme="majorHAnsi" w:hAnsiTheme="majorHAnsi" w:cstheme="majorHAnsi"/>
          <w:sz w:val="24"/>
          <w:szCs w:val="24"/>
        </w:rPr>
        <w:t>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destinacijski turistički proizvodi i razrađiva</w:t>
      </w:r>
      <w:r w:rsidR="00664FF4">
        <w:rPr>
          <w:rFonts w:asciiTheme="majorHAnsi" w:hAnsiTheme="majorHAnsi" w:cstheme="majorHAnsi"/>
          <w:sz w:val="24"/>
          <w:szCs w:val="24"/>
        </w:rPr>
        <w:t>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način implementacije svakog proizvoda u svaki segment destinacije. Tijekom implementacije standarda prate se promjene u kvaliteti, održava</w:t>
      </w:r>
      <w:r w:rsidR="00664FF4">
        <w:rPr>
          <w:rFonts w:asciiTheme="majorHAnsi" w:hAnsiTheme="majorHAnsi" w:cstheme="majorHAnsi"/>
          <w:sz w:val="24"/>
          <w:szCs w:val="24"/>
        </w:rPr>
        <w:t xml:space="preserve">li smo </w:t>
      </w:r>
      <w:r w:rsidRPr="0062604A">
        <w:rPr>
          <w:rFonts w:asciiTheme="majorHAnsi" w:hAnsiTheme="majorHAnsi" w:cstheme="majorHAnsi"/>
          <w:sz w:val="24"/>
          <w:szCs w:val="24"/>
        </w:rPr>
        <w:t>individualne i grupne koordinacije sa subjektima, proaktivno sudjelova</w:t>
      </w:r>
      <w:r w:rsidR="00664FF4">
        <w:rPr>
          <w:rFonts w:asciiTheme="majorHAnsi" w:hAnsiTheme="majorHAnsi" w:cstheme="majorHAnsi"/>
          <w:sz w:val="24"/>
          <w:szCs w:val="24"/>
        </w:rPr>
        <w:t>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u rješavanju izazova te inovira</w:t>
      </w:r>
      <w:r w:rsidR="00664FF4">
        <w:rPr>
          <w:rFonts w:asciiTheme="majorHAnsi" w:hAnsiTheme="majorHAnsi" w:cstheme="majorHAnsi"/>
          <w:sz w:val="24"/>
          <w:szCs w:val="24"/>
        </w:rPr>
        <w:t>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poslovna rješenja individualnim pristupom, u vidu preporuka za poboljšanje poslovanja. U sklopu projekta IQM </w:t>
      </w:r>
      <w:proofErr w:type="spellStart"/>
      <w:r w:rsidRPr="0062604A">
        <w:rPr>
          <w:rFonts w:asciiTheme="majorHAnsi" w:hAnsiTheme="majorHAnsi" w:cstheme="majorHAnsi"/>
          <w:sz w:val="24"/>
          <w:szCs w:val="24"/>
        </w:rPr>
        <w:t>Destination</w:t>
      </w:r>
      <w:proofErr w:type="spellEnd"/>
      <w:r w:rsidRPr="0062604A">
        <w:rPr>
          <w:rFonts w:asciiTheme="majorHAnsi" w:hAnsiTheme="majorHAnsi" w:cstheme="majorHAnsi"/>
          <w:sz w:val="24"/>
          <w:szCs w:val="24"/>
        </w:rPr>
        <w:t xml:space="preserve"> Dunav i Srijem provo</w:t>
      </w:r>
      <w:r w:rsidR="00664FF4">
        <w:rPr>
          <w:rFonts w:asciiTheme="majorHAnsi" w:hAnsiTheme="majorHAnsi" w:cstheme="majorHAnsi"/>
          <w:sz w:val="24"/>
          <w:szCs w:val="24"/>
        </w:rPr>
        <w:t>dili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</w:t>
      </w:r>
      <w:r w:rsidR="00664FF4">
        <w:rPr>
          <w:rFonts w:asciiTheme="majorHAnsi" w:hAnsiTheme="majorHAnsi" w:cstheme="majorHAnsi"/>
          <w:sz w:val="24"/>
          <w:szCs w:val="24"/>
        </w:rPr>
        <w:t>s</w:t>
      </w:r>
      <w:r w:rsidRPr="0062604A">
        <w:rPr>
          <w:rFonts w:asciiTheme="majorHAnsi" w:hAnsiTheme="majorHAnsi" w:cstheme="majorHAnsi"/>
          <w:sz w:val="24"/>
          <w:szCs w:val="24"/>
        </w:rPr>
        <w:t>mo i aktivnosti umrežavanja dionika posebnim informacijskim sustavom u kojem osnažujemo destinacijski management, promovira</w:t>
      </w:r>
      <w:r w:rsidR="00664FF4">
        <w:rPr>
          <w:rFonts w:asciiTheme="majorHAnsi" w:hAnsiTheme="majorHAnsi" w:cstheme="majorHAnsi"/>
          <w:sz w:val="24"/>
          <w:szCs w:val="24"/>
        </w:rPr>
        <w:t>li</w:t>
      </w:r>
      <w:r w:rsidRPr="0062604A">
        <w:rPr>
          <w:rFonts w:asciiTheme="majorHAnsi" w:hAnsiTheme="majorHAnsi" w:cstheme="majorHAnsi"/>
          <w:sz w:val="24"/>
          <w:szCs w:val="24"/>
        </w:rPr>
        <w:t xml:space="preserve"> destinacijske proizvode, upravljanje cijenama, </w:t>
      </w:r>
      <w:proofErr w:type="spellStart"/>
      <w:r w:rsidRPr="0062604A">
        <w:rPr>
          <w:rFonts w:asciiTheme="majorHAnsi" w:hAnsiTheme="majorHAnsi" w:cstheme="majorHAnsi"/>
          <w:sz w:val="24"/>
          <w:szCs w:val="24"/>
        </w:rPr>
        <w:t>loyalty</w:t>
      </w:r>
      <w:proofErr w:type="spellEnd"/>
      <w:r w:rsidRPr="0062604A">
        <w:rPr>
          <w:rFonts w:asciiTheme="majorHAnsi" w:hAnsiTheme="majorHAnsi" w:cstheme="majorHAnsi"/>
          <w:sz w:val="24"/>
          <w:szCs w:val="24"/>
        </w:rPr>
        <w:t xml:space="preserve"> program i kvalitetu, a zove se IQM PASS.</w:t>
      </w:r>
      <w:r w:rsidR="00664FF4">
        <w:rPr>
          <w:rFonts w:asciiTheme="majorHAnsi" w:hAnsiTheme="majorHAnsi" w:cstheme="majorHAnsi"/>
          <w:sz w:val="24"/>
          <w:szCs w:val="24"/>
        </w:rPr>
        <w:t xml:space="preserve"> U 2021. godini tvrtka </w:t>
      </w:r>
      <w:proofErr w:type="spellStart"/>
      <w:r w:rsidR="00664FF4">
        <w:rPr>
          <w:rFonts w:asciiTheme="majorHAnsi" w:hAnsiTheme="majorHAnsi" w:cstheme="majorHAnsi"/>
          <w:sz w:val="24"/>
          <w:szCs w:val="24"/>
        </w:rPr>
        <w:t>Feel</w:t>
      </w:r>
      <w:proofErr w:type="spellEnd"/>
      <w:r w:rsidR="00664FF4">
        <w:rPr>
          <w:rFonts w:asciiTheme="majorHAnsi" w:hAnsiTheme="majorHAnsi" w:cstheme="majorHAnsi"/>
          <w:sz w:val="24"/>
          <w:szCs w:val="24"/>
        </w:rPr>
        <w:t xml:space="preserve"> IQM d.o.o. počela je s izradom Studije Integralno upravljanje kvalitetom u destinaciji Nijemci. </w:t>
      </w:r>
    </w:p>
    <w:p w14:paraId="7F1EA5AD" w14:textId="7C2577E7" w:rsidR="00981129" w:rsidRPr="0062604A" w:rsidRDefault="00981129" w:rsidP="0062604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Planirani trošak iznosio je 60.500,00 kn, a ostvareno je 60.422,00 kn što čini 99,87 % izvršenja i 6,32 % udjela u ukupnim rashodima. </w:t>
      </w:r>
    </w:p>
    <w:p w14:paraId="6AA9A196" w14:textId="5C5D2657" w:rsidR="00981129" w:rsidRPr="00845306" w:rsidRDefault="00981129" w:rsidP="00AB2D79">
      <w:pPr>
        <w:pStyle w:val="Naslov1"/>
        <w:numPr>
          <w:ilvl w:val="0"/>
          <w:numId w:val="30"/>
        </w:numPr>
      </w:pPr>
      <w:bookmarkStart w:id="17" w:name="_Toc98248003"/>
      <w:bookmarkEnd w:id="15"/>
      <w:r>
        <w:t>ADMINISTRATIVNI POSLOVI</w:t>
      </w:r>
      <w:bookmarkEnd w:id="17"/>
      <w:r>
        <w:t xml:space="preserve"> </w:t>
      </w:r>
    </w:p>
    <w:p w14:paraId="0C02A7D7" w14:textId="4340D5DA" w:rsidR="009E11DD" w:rsidRPr="00981129" w:rsidRDefault="00981129" w:rsidP="00AB2D79">
      <w:pPr>
        <w:pStyle w:val="Naslov2"/>
        <w:numPr>
          <w:ilvl w:val="0"/>
          <w:numId w:val="34"/>
        </w:numPr>
      </w:pPr>
      <w:bookmarkStart w:id="18" w:name="_Toc98248004"/>
      <w:r w:rsidRPr="00981129">
        <w:t>Plaće</w:t>
      </w:r>
      <w:bookmarkEnd w:id="18"/>
    </w:p>
    <w:p w14:paraId="706DB3F5" w14:textId="77777777" w:rsidR="00981129" w:rsidRDefault="009E11DD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spacing w:val="5"/>
          <w:sz w:val="24"/>
          <w:szCs w:val="24"/>
        </w:rPr>
        <w:t>Turistički ured TZ općine Nijemci upošljava direktoricu Turističkog ureda i je</w:t>
      </w:r>
      <w:r w:rsidR="007102A5">
        <w:rPr>
          <w:rFonts w:asciiTheme="majorHAnsi" w:hAnsiTheme="majorHAnsi" w:cstheme="majorHAnsi"/>
          <w:spacing w:val="5"/>
          <w:sz w:val="24"/>
          <w:szCs w:val="24"/>
        </w:rPr>
        <w:t>dnog referenta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, </w:t>
      </w:r>
      <w:r w:rsidR="00343620" w:rsidRPr="00114134">
        <w:rPr>
          <w:rFonts w:asciiTheme="majorHAnsi" w:hAnsiTheme="majorHAnsi" w:cstheme="majorHAnsi"/>
          <w:spacing w:val="5"/>
          <w:sz w:val="24"/>
          <w:szCs w:val="24"/>
        </w:rPr>
        <w:t>na Ugovor na neodređeno vrijeme</w:t>
      </w:r>
      <w:r w:rsidR="007102A5">
        <w:rPr>
          <w:rFonts w:asciiTheme="majorHAnsi" w:hAnsiTheme="majorHAnsi" w:cstheme="majorHAnsi"/>
          <w:spacing w:val="5"/>
          <w:sz w:val="24"/>
          <w:szCs w:val="24"/>
        </w:rPr>
        <w:t xml:space="preserve"> te jednu stručnu suradnicu na Ugovor na određeno vrijeme</w:t>
      </w:r>
      <w:r w:rsidR="00343620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>Od 12.studenog 202</w:t>
      </w:r>
      <w:r w:rsidR="0053644A">
        <w:rPr>
          <w:rFonts w:asciiTheme="majorHAnsi" w:hAnsiTheme="majorHAnsi" w:cstheme="majorHAnsi"/>
          <w:spacing w:val="5"/>
          <w:sz w:val="24"/>
          <w:szCs w:val="24"/>
        </w:rPr>
        <w:t>1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. </w:t>
      </w:r>
      <w:r w:rsidR="0053644A">
        <w:rPr>
          <w:rFonts w:asciiTheme="majorHAnsi" w:hAnsiTheme="majorHAnsi" w:cstheme="majorHAnsi"/>
          <w:spacing w:val="5"/>
          <w:sz w:val="24"/>
          <w:szCs w:val="24"/>
        </w:rPr>
        <w:t xml:space="preserve">godine osobi zaposlenoj 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na mjestu stručnog suradnika </w:t>
      </w:r>
      <w:r w:rsidR="0053644A">
        <w:rPr>
          <w:rFonts w:asciiTheme="majorHAnsi" w:hAnsiTheme="majorHAnsi" w:cstheme="majorHAnsi"/>
          <w:spacing w:val="5"/>
          <w:sz w:val="24"/>
          <w:szCs w:val="24"/>
        </w:rPr>
        <w:t xml:space="preserve">produžen je Ugovor na određeno vrijeme. </w:t>
      </w:r>
      <w:r w:rsidR="00631995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Navedeni rashodi su utrošeni na rashode za radnike (plaće i doprinosi na i iz plaće, božićnice, regres, nagrade) u iznosu od </w:t>
      </w:r>
      <w:r w:rsidR="0053644A">
        <w:rPr>
          <w:rFonts w:asciiTheme="majorHAnsi" w:hAnsiTheme="majorHAnsi" w:cstheme="majorHAnsi"/>
          <w:spacing w:val="5"/>
          <w:sz w:val="24"/>
          <w:szCs w:val="24"/>
        </w:rPr>
        <w:t>341.744,32</w:t>
      </w:r>
      <w:r w:rsidR="00631995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kuna. </w:t>
      </w:r>
    </w:p>
    <w:p w14:paraId="29B155CE" w14:textId="2A62E7B4" w:rsidR="00981129" w:rsidRPr="00981129" w:rsidRDefault="00981129" w:rsidP="00AB2D79">
      <w:pPr>
        <w:pStyle w:val="Naslov2"/>
        <w:numPr>
          <w:ilvl w:val="0"/>
          <w:numId w:val="34"/>
        </w:numPr>
      </w:pPr>
      <w:bookmarkStart w:id="19" w:name="_Toc98248005"/>
      <w:r w:rsidRPr="00981129">
        <w:lastRenderedPageBreak/>
        <w:t>Materijalni troškovi</w:t>
      </w:r>
      <w:bookmarkEnd w:id="19"/>
      <w:r w:rsidRPr="00981129">
        <w:t xml:space="preserve"> </w:t>
      </w:r>
    </w:p>
    <w:p w14:paraId="50F388EE" w14:textId="044B5583" w:rsidR="0053644A" w:rsidRPr="00AB2D79" w:rsidRDefault="0053644A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>
        <w:rPr>
          <w:rFonts w:asciiTheme="majorHAnsi" w:hAnsiTheme="majorHAnsi" w:cstheme="majorHAnsi"/>
          <w:spacing w:val="5"/>
          <w:sz w:val="24"/>
          <w:szCs w:val="24"/>
        </w:rPr>
        <w:t>Materijalni troškovi iznose</w:t>
      </w:r>
      <w:r w:rsidR="00631995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5"/>
          <w:sz w:val="24"/>
          <w:szCs w:val="24"/>
        </w:rPr>
        <w:t xml:space="preserve">99.514,06 </w:t>
      </w:r>
      <w:r w:rsidR="00631995" w:rsidRPr="00114134">
        <w:rPr>
          <w:rFonts w:asciiTheme="majorHAnsi" w:hAnsiTheme="majorHAnsi" w:cstheme="majorHAnsi"/>
          <w:spacing w:val="5"/>
          <w:sz w:val="24"/>
          <w:szCs w:val="24"/>
        </w:rPr>
        <w:t>kuna, a utrošeni su na redovne troškove Ureda: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telekomunikacijski troškovi</w:t>
      </w:r>
      <w:r w:rsidR="00631995" w:rsidRPr="00114134">
        <w:rPr>
          <w:rFonts w:asciiTheme="majorHAnsi" w:hAnsiTheme="majorHAnsi" w:cstheme="majorHAnsi"/>
          <w:spacing w:val="5"/>
          <w:sz w:val="24"/>
          <w:szCs w:val="24"/>
        </w:rPr>
        <w:t>, knjigovodstvo, režijski troškovi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>, bankarske usluge, uredski materijali, uredski namještaj</w:t>
      </w:r>
      <w:r w:rsidR="00B9727E">
        <w:rPr>
          <w:rFonts w:asciiTheme="majorHAnsi" w:hAnsiTheme="majorHAnsi" w:cstheme="majorHAnsi"/>
          <w:spacing w:val="5"/>
          <w:sz w:val="24"/>
          <w:szCs w:val="24"/>
        </w:rPr>
        <w:t xml:space="preserve"> te računalna oprema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>.</w:t>
      </w:r>
      <w:r w:rsidR="00631995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="00343620"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TZO Nijemci redovno je javnost informirala o svojim aktivnostima putem medija, objavama na web stranici kao i objave dokumenata TZ općine Nijemci. </w:t>
      </w:r>
    </w:p>
    <w:p w14:paraId="3AD4FFE0" w14:textId="77777777" w:rsidR="00981129" w:rsidRPr="00114134" w:rsidRDefault="00981129" w:rsidP="00845306">
      <w:pPr>
        <w:pStyle w:val="Naslov2"/>
      </w:pPr>
    </w:p>
    <w:p w14:paraId="190D7AE0" w14:textId="16C86BDD" w:rsidR="005B6AE7" w:rsidRPr="00AB2D79" w:rsidRDefault="00463873" w:rsidP="00AB2D79">
      <w:pPr>
        <w:pStyle w:val="Naslov2"/>
        <w:numPr>
          <w:ilvl w:val="0"/>
          <w:numId w:val="34"/>
        </w:numPr>
      </w:pPr>
      <w:bookmarkStart w:id="20" w:name="_Toc98248006"/>
      <w:r w:rsidRPr="00AB2D79">
        <w:t>Tijela TZ općine Nijemci</w:t>
      </w:r>
      <w:bookmarkEnd w:id="20"/>
    </w:p>
    <w:p w14:paraId="05242A29" w14:textId="7EBE9354" w:rsidR="00343620" w:rsidRPr="00114134" w:rsidRDefault="00343620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bookmarkStart w:id="21" w:name="_Hlk98098684"/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Tijela TZ općine Nijemci redovito su održavala svoje sjednice, a održano je ukupno </w:t>
      </w:r>
      <w:r w:rsidR="00AD2F7F">
        <w:rPr>
          <w:rFonts w:asciiTheme="majorHAnsi" w:hAnsiTheme="majorHAnsi" w:cstheme="majorHAnsi"/>
          <w:spacing w:val="5"/>
          <w:sz w:val="24"/>
          <w:szCs w:val="24"/>
        </w:rPr>
        <w:t>četiri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sjednica Turističkog vijeća, </w:t>
      </w:r>
      <w:r w:rsidR="00FD2455">
        <w:rPr>
          <w:rFonts w:asciiTheme="majorHAnsi" w:hAnsiTheme="majorHAnsi" w:cstheme="majorHAnsi"/>
          <w:spacing w:val="5"/>
          <w:sz w:val="24"/>
          <w:szCs w:val="24"/>
        </w:rPr>
        <w:t>tri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 sjednice Skupštine</w:t>
      </w:r>
      <w:r w:rsidR="00FD2455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spacing w:val="5"/>
          <w:sz w:val="24"/>
          <w:szCs w:val="24"/>
        </w:rPr>
        <w:t xml:space="preserve">i </w:t>
      </w:r>
      <w:r w:rsidR="009E1E93" w:rsidRPr="00114134">
        <w:rPr>
          <w:rFonts w:asciiTheme="majorHAnsi" w:hAnsiTheme="majorHAnsi" w:cstheme="majorHAnsi"/>
          <w:spacing w:val="5"/>
          <w:sz w:val="24"/>
          <w:szCs w:val="24"/>
        </w:rPr>
        <w:t>jed</w:t>
      </w:r>
      <w:r w:rsidR="00AC05B7">
        <w:rPr>
          <w:rFonts w:asciiTheme="majorHAnsi" w:hAnsiTheme="majorHAnsi" w:cstheme="majorHAnsi"/>
          <w:spacing w:val="5"/>
          <w:sz w:val="24"/>
          <w:szCs w:val="24"/>
        </w:rPr>
        <w:t>an sastanak radne skupine.</w:t>
      </w:r>
    </w:p>
    <w:p w14:paraId="1CEA5CCB" w14:textId="77777777" w:rsidR="004D4652" w:rsidRPr="00114134" w:rsidRDefault="004D4652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b/>
          <w:bCs/>
          <w:color w:val="FF0000"/>
          <w:spacing w:val="5"/>
          <w:sz w:val="24"/>
          <w:szCs w:val="24"/>
          <w:u w:val="single"/>
        </w:rPr>
      </w:pPr>
    </w:p>
    <w:p w14:paraId="60527EDA" w14:textId="4E4735DE" w:rsidR="005B6AE7" w:rsidRPr="00114134" w:rsidRDefault="005B6AE7" w:rsidP="004D20DC">
      <w:pPr>
        <w:pStyle w:val="Naslov3"/>
      </w:pPr>
      <w:bookmarkStart w:id="22" w:name="_Toc98248007"/>
      <w:r w:rsidRPr="00114134">
        <w:t>Skupština</w:t>
      </w:r>
      <w:bookmarkEnd w:id="22"/>
    </w:p>
    <w:p w14:paraId="7F040B7F" w14:textId="1DDB1587" w:rsidR="004D4652" w:rsidRPr="00114134" w:rsidRDefault="005B6AE7" w:rsidP="00114134">
      <w:pPr>
        <w:shd w:val="clear" w:color="auto" w:fill="FFFFFF"/>
        <w:spacing w:line="252" w:lineRule="exact"/>
        <w:jc w:val="both"/>
        <w:rPr>
          <w:rFonts w:asciiTheme="majorHAnsi" w:hAnsiTheme="majorHAnsi" w:cstheme="majorHAnsi"/>
          <w:spacing w:val="5"/>
          <w:sz w:val="24"/>
          <w:szCs w:val="24"/>
        </w:rPr>
      </w:pPr>
      <w:r w:rsidRPr="00114134">
        <w:rPr>
          <w:rFonts w:asciiTheme="majorHAnsi" w:hAnsiTheme="majorHAnsi" w:cstheme="majorHAnsi"/>
          <w:sz w:val="24"/>
          <w:szCs w:val="24"/>
        </w:rPr>
        <w:t>U razdoblju 1. siječnja - 31. prosinca 20</w:t>
      </w:r>
      <w:r w:rsidR="004D4652" w:rsidRPr="00114134">
        <w:rPr>
          <w:rFonts w:asciiTheme="majorHAnsi" w:hAnsiTheme="majorHAnsi" w:cstheme="majorHAnsi"/>
          <w:sz w:val="24"/>
          <w:szCs w:val="24"/>
        </w:rPr>
        <w:t>2</w:t>
      </w:r>
      <w:r w:rsidR="00AC05B7">
        <w:rPr>
          <w:rFonts w:asciiTheme="majorHAnsi" w:hAnsiTheme="majorHAnsi" w:cstheme="majorHAnsi"/>
          <w:sz w:val="24"/>
          <w:szCs w:val="24"/>
        </w:rPr>
        <w:t>1</w:t>
      </w:r>
      <w:r w:rsidRPr="00114134">
        <w:rPr>
          <w:rFonts w:asciiTheme="majorHAnsi" w:hAnsiTheme="majorHAnsi" w:cstheme="majorHAnsi"/>
          <w:sz w:val="24"/>
          <w:szCs w:val="24"/>
        </w:rPr>
        <w:t xml:space="preserve">. održane su </w:t>
      </w:r>
      <w:r w:rsidR="00FD2455">
        <w:rPr>
          <w:rFonts w:asciiTheme="majorHAnsi" w:hAnsiTheme="majorHAnsi" w:cstheme="majorHAnsi"/>
          <w:sz w:val="24"/>
          <w:szCs w:val="24"/>
        </w:rPr>
        <w:t>tri</w:t>
      </w:r>
      <w:r w:rsidR="00AC05B7">
        <w:rPr>
          <w:rFonts w:asciiTheme="majorHAnsi" w:hAnsiTheme="majorHAnsi" w:cstheme="majorHAnsi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sz w:val="24"/>
          <w:szCs w:val="24"/>
        </w:rPr>
        <w:t>sjednic</w:t>
      </w:r>
      <w:r w:rsidR="00AC05B7">
        <w:rPr>
          <w:rFonts w:asciiTheme="majorHAnsi" w:hAnsiTheme="majorHAnsi" w:cstheme="majorHAnsi"/>
          <w:sz w:val="24"/>
          <w:szCs w:val="24"/>
        </w:rPr>
        <w:t>e</w:t>
      </w:r>
      <w:r w:rsidRPr="00114134">
        <w:rPr>
          <w:rFonts w:asciiTheme="majorHAnsi" w:hAnsiTheme="majorHAnsi" w:cstheme="majorHAnsi"/>
          <w:sz w:val="24"/>
          <w:szCs w:val="24"/>
        </w:rPr>
        <w:t xml:space="preserve"> Skupštine TZ općine Nijemci.</w:t>
      </w:r>
      <w:r w:rsidR="004D4652" w:rsidRPr="00114134">
        <w:rPr>
          <w:rFonts w:asciiTheme="majorHAnsi" w:hAnsiTheme="majorHAnsi" w:cstheme="majorHAnsi"/>
          <w:sz w:val="24"/>
          <w:szCs w:val="24"/>
        </w:rPr>
        <w:t xml:space="preserve"> </w:t>
      </w:r>
      <w:r w:rsidRPr="00114134">
        <w:rPr>
          <w:rFonts w:asciiTheme="majorHAnsi" w:hAnsiTheme="majorHAnsi" w:cstheme="majorHAnsi"/>
          <w:sz w:val="24"/>
          <w:szCs w:val="24"/>
        </w:rPr>
        <w:t xml:space="preserve">Sjednice Skupštine su održene </w:t>
      </w:r>
      <w:r w:rsidR="00FD2455">
        <w:rPr>
          <w:rFonts w:asciiTheme="majorHAnsi" w:hAnsiTheme="majorHAnsi" w:cstheme="majorHAnsi"/>
          <w:sz w:val="24"/>
          <w:szCs w:val="24"/>
        </w:rPr>
        <w:t xml:space="preserve">10. ožujka, </w:t>
      </w:r>
      <w:r w:rsidR="004D4652" w:rsidRPr="00114134">
        <w:rPr>
          <w:rFonts w:asciiTheme="majorHAnsi" w:hAnsiTheme="majorHAnsi" w:cstheme="majorHAnsi"/>
          <w:sz w:val="24"/>
          <w:szCs w:val="24"/>
        </w:rPr>
        <w:t>31</w:t>
      </w:r>
      <w:r w:rsidRPr="00114134">
        <w:rPr>
          <w:rFonts w:asciiTheme="majorHAnsi" w:hAnsiTheme="majorHAnsi" w:cstheme="majorHAnsi"/>
          <w:sz w:val="24"/>
          <w:szCs w:val="24"/>
        </w:rPr>
        <w:t>. ožujka</w:t>
      </w:r>
      <w:r w:rsidR="00AC05B7">
        <w:rPr>
          <w:rFonts w:asciiTheme="majorHAnsi" w:hAnsiTheme="majorHAnsi" w:cstheme="majorHAnsi"/>
          <w:sz w:val="24"/>
          <w:szCs w:val="24"/>
        </w:rPr>
        <w:t xml:space="preserve"> i 31. prosinca 2021.</w:t>
      </w:r>
    </w:p>
    <w:p w14:paraId="318228E7" w14:textId="06F9E469" w:rsidR="005B6AE7" w:rsidRPr="00114134" w:rsidRDefault="005B6AE7" w:rsidP="0011413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4134">
        <w:rPr>
          <w:rFonts w:asciiTheme="majorHAnsi" w:hAnsiTheme="majorHAnsi" w:cstheme="majorHAnsi"/>
          <w:sz w:val="24"/>
          <w:szCs w:val="24"/>
        </w:rPr>
        <w:t>Sjednice Skupštine Zajednice sazvane su sukladno Pravilniku o radu Skupštine Zajednice</w:t>
      </w:r>
      <w:r w:rsidR="00D96112" w:rsidRPr="00114134">
        <w:rPr>
          <w:rFonts w:asciiTheme="majorHAnsi" w:hAnsiTheme="majorHAnsi" w:cstheme="majorHAnsi"/>
          <w:sz w:val="24"/>
          <w:szCs w:val="24"/>
        </w:rPr>
        <w:t>.</w:t>
      </w:r>
      <w:r w:rsidRPr="00114134">
        <w:rPr>
          <w:rFonts w:asciiTheme="majorHAnsi" w:hAnsiTheme="majorHAnsi" w:cstheme="majorHAnsi"/>
          <w:sz w:val="24"/>
          <w:szCs w:val="24"/>
        </w:rPr>
        <w:t xml:space="preserve"> </w:t>
      </w:r>
      <w:r w:rsidR="004D4652" w:rsidRPr="00114134">
        <w:rPr>
          <w:rFonts w:asciiTheme="majorHAnsi" w:hAnsiTheme="majorHAnsi" w:cstheme="majorHAnsi"/>
          <w:sz w:val="24"/>
          <w:szCs w:val="24"/>
        </w:rPr>
        <w:t>U 202</w:t>
      </w:r>
      <w:r w:rsidR="00AC7350">
        <w:rPr>
          <w:rFonts w:asciiTheme="majorHAnsi" w:hAnsiTheme="majorHAnsi" w:cstheme="majorHAnsi"/>
          <w:sz w:val="24"/>
          <w:szCs w:val="24"/>
        </w:rPr>
        <w:t>1</w:t>
      </w:r>
      <w:r w:rsidR="004D4652" w:rsidRPr="00114134">
        <w:rPr>
          <w:rFonts w:asciiTheme="majorHAnsi" w:hAnsiTheme="majorHAnsi" w:cstheme="majorHAnsi"/>
          <w:sz w:val="24"/>
          <w:szCs w:val="24"/>
        </w:rPr>
        <w:t xml:space="preserve">. godini zbog pandemije Covid-19 sjednice </w:t>
      </w:r>
      <w:r w:rsidR="00F0393C" w:rsidRPr="00114134">
        <w:rPr>
          <w:rFonts w:asciiTheme="majorHAnsi" w:hAnsiTheme="majorHAnsi" w:cstheme="majorHAnsi"/>
          <w:sz w:val="24"/>
          <w:szCs w:val="24"/>
        </w:rPr>
        <w:t>S</w:t>
      </w:r>
      <w:r w:rsidR="004D4652" w:rsidRPr="00114134">
        <w:rPr>
          <w:rFonts w:asciiTheme="majorHAnsi" w:hAnsiTheme="majorHAnsi" w:cstheme="majorHAnsi"/>
          <w:sz w:val="24"/>
          <w:szCs w:val="24"/>
        </w:rPr>
        <w:t>kupštine održavala su se elektronski sukladno Pravilniku o radu Sku</w:t>
      </w:r>
      <w:r w:rsidR="00F0393C" w:rsidRPr="00114134">
        <w:rPr>
          <w:rFonts w:asciiTheme="majorHAnsi" w:hAnsiTheme="majorHAnsi" w:cstheme="majorHAnsi"/>
          <w:sz w:val="24"/>
          <w:szCs w:val="24"/>
        </w:rPr>
        <w:t>p</w:t>
      </w:r>
      <w:r w:rsidR="004D4652" w:rsidRPr="00114134">
        <w:rPr>
          <w:rFonts w:asciiTheme="majorHAnsi" w:hAnsiTheme="majorHAnsi" w:cstheme="majorHAnsi"/>
          <w:sz w:val="24"/>
          <w:szCs w:val="24"/>
        </w:rPr>
        <w:t>štine Zajednice i po Preporuci Ministarstva turizma (</w:t>
      </w:r>
      <w:r w:rsidR="00F0393C" w:rsidRPr="00114134">
        <w:rPr>
          <w:rFonts w:asciiTheme="majorHAnsi" w:hAnsiTheme="majorHAnsi" w:cstheme="majorHAnsi"/>
          <w:sz w:val="24"/>
          <w:szCs w:val="24"/>
        </w:rPr>
        <w:t>KLASA: 334-08/20-01/65,URBROJ:529-05-01/1-20-1).</w:t>
      </w:r>
      <w:r w:rsidR="00AC7350">
        <w:rPr>
          <w:rFonts w:asciiTheme="majorHAnsi" w:hAnsiTheme="majorHAnsi" w:cstheme="majorHAnsi"/>
          <w:sz w:val="24"/>
          <w:szCs w:val="24"/>
        </w:rPr>
        <w:t xml:space="preserve"> </w:t>
      </w:r>
      <w:r w:rsidR="00AC7350" w:rsidRPr="00AC7350">
        <w:rPr>
          <w:rFonts w:asciiTheme="majorHAnsi" w:hAnsiTheme="majorHAnsi" w:cstheme="majorHAnsi"/>
          <w:sz w:val="24"/>
          <w:szCs w:val="24"/>
        </w:rPr>
        <w:t>Uz poziv za sjednicu dostavljeni su odgovarajući materijali. Zapisnik sa sjednice sadrži sve elemente propisane Pravilnikom o radu Skupštine.</w:t>
      </w:r>
    </w:p>
    <w:p w14:paraId="3878B1B7" w14:textId="447070E9" w:rsidR="005B6AE7" w:rsidRPr="00114134" w:rsidRDefault="005B6AE7" w:rsidP="00114134">
      <w:pPr>
        <w:spacing w:after="0" w:line="24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28A86773" w14:textId="77777777" w:rsidR="007210B0" w:rsidRPr="00114134" w:rsidRDefault="007210B0" w:rsidP="0011413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9468EC1" w14:textId="77777777" w:rsidR="005B6AE7" w:rsidRPr="00114134" w:rsidRDefault="005B6AE7" w:rsidP="004D20DC">
      <w:pPr>
        <w:pStyle w:val="Naslov3"/>
      </w:pPr>
      <w:bookmarkStart w:id="23" w:name="_Toc98248008"/>
      <w:r w:rsidRPr="00114134">
        <w:t>Turističko vijeće</w:t>
      </w:r>
      <w:bookmarkEnd w:id="23"/>
    </w:p>
    <w:p w14:paraId="72DF2A59" w14:textId="77777777" w:rsidR="005B6AE7" w:rsidRPr="00114134" w:rsidRDefault="005B6AE7" w:rsidP="00114134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1A742D8" w14:textId="20456B99" w:rsidR="005B6AE7" w:rsidRPr="00114134" w:rsidRDefault="005B6AE7" w:rsidP="0011413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14134">
        <w:rPr>
          <w:rFonts w:asciiTheme="majorHAnsi" w:hAnsiTheme="majorHAnsi" w:cstheme="majorHAnsi"/>
          <w:sz w:val="24"/>
          <w:szCs w:val="24"/>
        </w:rPr>
        <w:t>U razdoblju 1. siječnja - 31. prosinca 20</w:t>
      </w:r>
      <w:r w:rsidR="00194A01" w:rsidRPr="00114134">
        <w:rPr>
          <w:rFonts w:asciiTheme="majorHAnsi" w:hAnsiTheme="majorHAnsi" w:cstheme="majorHAnsi"/>
          <w:sz w:val="24"/>
          <w:szCs w:val="24"/>
        </w:rPr>
        <w:t>2</w:t>
      </w:r>
      <w:r w:rsidR="00FD2455">
        <w:rPr>
          <w:rFonts w:asciiTheme="majorHAnsi" w:hAnsiTheme="majorHAnsi" w:cstheme="majorHAnsi"/>
          <w:sz w:val="24"/>
          <w:szCs w:val="24"/>
        </w:rPr>
        <w:t>1</w:t>
      </w:r>
      <w:r w:rsidRPr="00114134">
        <w:rPr>
          <w:rFonts w:asciiTheme="majorHAnsi" w:hAnsiTheme="majorHAnsi" w:cstheme="majorHAnsi"/>
          <w:sz w:val="24"/>
          <w:szCs w:val="24"/>
        </w:rPr>
        <w:t>. održan</w:t>
      </w:r>
      <w:r w:rsidR="00194A01" w:rsidRPr="00114134">
        <w:rPr>
          <w:rFonts w:asciiTheme="majorHAnsi" w:hAnsiTheme="majorHAnsi" w:cstheme="majorHAnsi"/>
          <w:sz w:val="24"/>
          <w:szCs w:val="24"/>
        </w:rPr>
        <w:t>o</w:t>
      </w:r>
      <w:r w:rsidRPr="00114134">
        <w:rPr>
          <w:rFonts w:asciiTheme="majorHAnsi" w:hAnsiTheme="majorHAnsi" w:cstheme="majorHAnsi"/>
          <w:sz w:val="24"/>
          <w:szCs w:val="24"/>
        </w:rPr>
        <w:t xml:space="preserve"> je </w:t>
      </w:r>
      <w:r w:rsidR="00AC7350">
        <w:rPr>
          <w:rFonts w:asciiTheme="majorHAnsi" w:hAnsiTheme="majorHAnsi" w:cstheme="majorHAnsi"/>
          <w:sz w:val="24"/>
          <w:szCs w:val="24"/>
        </w:rPr>
        <w:t>četiri</w:t>
      </w:r>
      <w:r w:rsidRPr="00114134">
        <w:rPr>
          <w:rFonts w:asciiTheme="majorHAnsi" w:hAnsiTheme="majorHAnsi" w:cstheme="majorHAnsi"/>
          <w:sz w:val="24"/>
          <w:szCs w:val="24"/>
        </w:rPr>
        <w:t xml:space="preserve"> sjednic</w:t>
      </w:r>
      <w:r w:rsidR="00AC7350">
        <w:rPr>
          <w:rFonts w:asciiTheme="majorHAnsi" w:hAnsiTheme="majorHAnsi" w:cstheme="majorHAnsi"/>
          <w:sz w:val="24"/>
          <w:szCs w:val="24"/>
        </w:rPr>
        <w:t>e</w:t>
      </w:r>
      <w:r w:rsidRPr="00114134">
        <w:rPr>
          <w:rFonts w:asciiTheme="majorHAnsi" w:hAnsiTheme="majorHAnsi" w:cstheme="majorHAnsi"/>
          <w:sz w:val="24"/>
          <w:szCs w:val="24"/>
        </w:rPr>
        <w:t xml:space="preserve"> Turističkog vijeća</w:t>
      </w:r>
      <w:r w:rsidR="00AC7350">
        <w:rPr>
          <w:rFonts w:asciiTheme="majorHAnsi" w:hAnsiTheme="majorHAnsi" w:cstheme="majorHAnsi"/>
          <w:sz w:val="24"/>
          <w:szCs w:val="24"/>
        </w:rPr>
        <w:t xml:space="preserve">. </w:t>
      </w:r>
      <w:r w:rsidRPr="00114134">
        <w:rPr>
          <w:rFonts w:asciiTheme="majorHAnsi" w:hAnsiTheme="majorHAnsi" w:cstheme="majorHAnsi"/>
          <w:bCs/>
          <w:sz w:val="24"/>
          <w:szCs w:val="24"/>
        </w:rPr>
        <w:t>Sjednice Turističkog vijeća</w:t>
      </w:r>
      <w:r w:rsidRPr="00114134">
        <w:rPr>
          <w:rFonts w:asciiTheme="majorHAnsi" w:hAnsiTheme="majorHAnsi" w:cstheme="majorHAnsi"/>
          <w:sz w:val="24"/>
          <w:szCs w:val="24"/>
        </w:rPr>
        <w:t xml:space="preserve"> održane su </w:t>
      </w:r>
      <w:r w:rsidR="00194A01" w:rsidRPr="00114134">
        <w:rPr>
          <w:rFonts w:asciiTheme="majorHAnsi" w:hAnsiTheme="majorHAnsi" w:cstheme="majorHAnsi"/>
          <w:sz w:val="24"/>
          <w:szCs w:val="24"/>
        </w:rPr>
        <w:t>2</w:t>
      </w:r>
      <w:r w:rsidR="00AC7350">
        <w:rPr>
          <w:rFonts w:asciiTheme="majorHAnsi" w:hAnsiTheme="majorHAnsi" w:cstheme="majorHAnsi"/>
          <w:sz w:val="24"/>
          <w:szCs w:val="24"/>
        </w:rPr>
        <w:t>6</w:t>
      </w:r>
      <w:r w:rsidRPr="00114134">
        <w:rPr>
          <w:rFonts w:asciiTheme="majorHAnsi" w:hAnsiTheme="majorHAnsi" w:cstheme="majorHAnsi"/>
          <w:sz w:val="24"/>
          <w:szCs w:val="24"/>
        </w:rPr>
        <w:t xml:space="preserve">. </w:t>
      </w:r>
      <w:r w:rsidR="00AC7350">
        <w:rPr>
          <w:rFonts w:asciiTheme="majorHAnsi" w:hAnsiTheme="majorHAnsi" w:cstheme="majorHAnsi"/>
          <w:sz w:val="24"/>
          <w:szCs w:val="24"/>
        </w:rPr>
        <w:t>ožujka</w:t>
      </w:r>
      <w:r w:rsidRPr="00114134">
        <w:rPr>
          <w:rFonts w:asciiTheme="majorHAnsi" w:hAnsiTheme="majorHAnsi" w:cstheme="majorHAnsi"/>
          <w:sz w:val="24"/>
          <w:szCs w:val="24"/>
        </w:rPr>
        <w:t xml:space="preserve"> , </w:t>
      </w:r>
      <w:r w:rsidR="00AC7350">
        <w:rPr>
          <w:rFonts w:asciiTheme="majorHAnsi" w:hAnsiTheme="majorHAnsi" w:cstheme="majorHAnsi"/>
          <w:sz w:val="24"/>
          <w:szCs w:val="24"/>
        </w:rPr>
        <w:t>9. srpnja</w:t>
      </w:r>
      <w:r w:rsidRPr="00114134">
        <w:rPr>
          <w:rFonts w:asciiTheme="majorHAnsi" w:hAnsiTheme="majorHAnsi" w:cstheme="majorHAnsi"/>
          <w:sz w:val="24"/>
          <w:szCs w:val="24"/>
        </w:rPr>
        <w:t xml:space="preserve">, </w:t>
      </w:r>
      <w:r w:rsidR="00AC7350">
        <w:rPr>
          <w:rFonts w:asciiTheme="majorHAnsi" w:hAnsiTheme="majorHAnsi" w:cstheme="majorHAnsi"/>
          <w:sz w:val="24"/>
          <w:szCs w:val="24"/>
        </w:rPr>
        <w:t>19</w:t>
      </w:r>
      <w:r w:rsidRPr="00114134">
        <w:rPr>
          <w:rFonts w:asciiTheme="majorHAnsi" w:hAnsiTheme="majorHAnsi" w:cstheme="majorHAnsi"/>
          <w:sz w:val="24"/>
          <w:szCs w:val="24"/>
        </w:rPr>
        <w:t xml:space="preserve">. </w:t>
      </w:r>
      <w:r w:rsidR="00AC7350">
        <w:rPr>
          <w:rFonts w:asciiTheme="majorHAnsi" w:hAnsiTheme="majorHAnsi" w:cstheme="majorHAnsi"/>
          <w:sz w:val="24"/>
          <w:szCs w:val="24"/>
        </w:rPr>
        <w:t>studenog</w:t>
      </w:r>
      <w:r w:rsidR="003428CB">
        <w:rPr>
          <w:rFonts w:asciiTheme="majorHAnsi" w:hAnsiTheme="majorHAnsi" w:cstheme="majorHAnsi"/>
          <w:sz w:val="24"/>
          <w:szCs w:val="24"/>
        </w:rPr>
        <w:t xml:space="preserve"> i</w:t>
      </w:r>
      <w:r w:rsidRPr="00114134">
        <w:rPr>
          <w:rFonts w:asciiTheme="majorHAnsi" w:hAnsiTheme="majorHAnsi" w:cstheme="majorHAnsi"/>
          <w:sz w:val="24"/>
          <w:szCs w:val="24"/>
        </w:rPr>
        <w:t xml:space="preserve"> </w:t>
      </w:r>
      <w:r w:rsidR="003428CB">
        <w:rPr>
          <w:rFonts w:asciiTheme="majorHAnsi" w:hAnsiTheme="majorHAnsi" w:cstheme="majorHAnsi"/>
          <w:sz w:val="24"/>
          <w:szCs w:val="24"/>
        </w:rPr>
        <w:t>21</w:t>
      </w:r>
      <w:r w:rsidRPr="00114134">
        <w:rPr>
          <w:rFonts w:asciiTheme="majorHAnsi" w:hAnsiTheme="majorHAnsi" w:cstheme="majorHAnsi"/>
          <w:sz w:val="24"/>
          <w:szCs w:val="24"/>
        </w:rPr>
        <w:t xml:space="preserve">. </w:t>
      </w:r>
      <w:r w:rsidR="003428CB">
        <w:rPr>
          <w:rFonts w:asciiTheme="majorHAnsi" w:hAnsiTheme="majorHAnsi" w:cstheme="majorHAnsi"/>
          <w:sz w:val="24"/>
          <w:szCs w:val="24"/>
        </w:rPr>
        <w:t>prosinca</w:t>
      </w:r>
      <w:r w:rsidRPr="00114134">
        <w:rPr>
          <w:rFonts w:asciiTheme="majorHAnsi" w:hAnsiTheme="majorHAnsi" w:cstheme="majorHAnsi"/>
          <w:sz w:val="24"/>
          <w:szCs w:val="24"/>
        </w:rPr>
        <w:t xml:space="preserve"> 20</w:t>
      </w:r>
      <w:r w:rsidR="00194A01" w:rsidRPr="00114134">
        <w:rPr>
          <w:rFonts w:asciiTheme="majorHAnsi" w:hAnsiTheme="majorHAnsi" w:cstheme="majorHAnsi"/>
          <w:sz w:val="24"/>
          <w:szCs w:val="24"/>
        </w:rPr>
        <w:t>2</w:t>
      </w:r>
      <w:r w:rsidR="003428CB">
        <w:rPr>
          <w:rFonts w:asciiTheme="majorHAnsi" w:hAnsiTheme="majorHAnsi" w:cstheme="majorHAnsi"/>
          <w:sz w:val="24"/>
          <w:szCs w:val="24"/>
        </w:rPr>
        <w:t>1</w:t>
      </w:r>
      <w:r w:rsidRPr="00114134">
        <w:rPr>
          <w:rFonts w:asciiTheme="majorHAnsi" w:hAnsiTheme="majorHAnsi" w:cstheme="majorHAnsi"/>
          <w:sz w:val="24"/>
          <w:szCs w:val="24"/>
        </w:rPr>
        <w:t>. godine. Na sjednicama su jednoglasno donesene odluke po točkama dnevnog reda, te su prihvaćena navedena izvješća.</w:t>
      </w:r>
    </w:p>
    <w:bookmarkEnd w:id="21"/>
    <w:p w14:paraId="5238CCAE" w14:textId="6DAAD202" w:rsidR="00672495" w:rsidRDefault="00672495" w:rsidP="00114134">
      <w:pPr>
        <w:pStyle w:val="Normal1"/>
        <w:spacing w:after="0" w:line="240" w:lineRule="auto"/>
        <w:jc w:val="both"/>
        <w:rPr>
          <w:rFonts w:asciiTheme="majorHAnsi" w:hAnsiTheme="majorHAnsi" w:cstheme="majorHAnsi"/>
          <w:b/>
          <w:bCs/>
          <w:i/>
          <w:sz w:val="24"/>
          <w:szCs w:val="24"/>
        </w:rPr>
      </w:pPr>
    </w:p>
    <w:p w14:paraId="4D47785C" w14:textId="77777777" w:rsidR="00981129" w:rsidRPr="00981129" w:rsidRDefault="00981129" w:rsidP="00114134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tbl>
      <w:tblPr>
        <w:tblW w:w="8970" w:type="dxa"/>
        <w:tblLook w:val="04A0" w:firstRow="1" w:lastRow="0" w:firstColumn="1" w:lastColumn="0" w:noHBand="0" w:noVBand="1"/>
      </w:tblPr>
      <w:tblGrid>
        <w:gridCol w:w="379"/>
        <w:gridCol w:w="590"/>
        <w:gridCol w:w="663"/>
        <w:gridCol w:w="2444"/>
        <w:gridCol w:w="1349"/>
        <w:gridCol w:w="808"/>
        <w:gridCol w:w="1279"/>
        <w:gridCol w:w="808"/>
        <w:gridCol w:w="752"/>
      </w:tblGrid>
      <w:tr w:rsidR="006C3934" w:rsidRPr="006C3934" w14:paraId="0C9E129F" w14:textId="77777777" w:rsidTr="00AB2D79">
        <w:trPr>
          <w:trHeight w:val="415"/>
        </w:trPr>
        <w:tc>
          <w:tcPr>
            <w:tcW w:w="8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0030" w14:textId="5CF151C6" w:rsidR="006C3934" w:rsidRPr="006C3934" w:rsidRDefault="006C3934" w:rsidP="00AB2D79">
            <w:pPr>
              <w:pStyle w:val="Naslov1"/>
              <w:numPr>
                <w:ilvl w:val="0"/>
                <w:numId w:val="30"/>
              </w:numPr>
              <w:rPr>
                <w:rFonts w:eastAsia="Times New Roman"/>
                <w:lang w:eastAsia="hr-HR"/>
              </w:rPr>
            </w:pPr>
            <w:bookmarkStart w:id="24" w:name="_Toc98248009"/>
            <w:r w:rsidRPr="006C3934">
              <w:rPr>
                <w:rFonts w:eastAsia="Times New Roman"/>
                <w:lang w:eastAsia="hr-HR"/>
              </w:rPr>
              <w:t>REALIZACIJA FINANCIJSKOG PLANA</w:t>
            </w:r>
            <w:bookmarkEnd w:id="24"/>
          </w:p>
        </w:tc>
      </w:tr>
      <w:tr w:rsidR="006C3934" w:rsidRPr="006C3934" w14:paraId="702C5BE7" w14:textId="77777777" w:rsidTr="00AB2D79">
        <w:trPr>
          <w:trHeight w:val="415"/>
        </w:trPr>
        <w:tc>
          <w:tcPr>
            <w:tcW w:w="8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27CB" w14:textId="24CCDEDE" w:rsidR="006C3934" w:rsidRPr="006C3934" w:rsidRDefault="006C3934" w:rsidP="00845306">
            <w:pPr>
              <w:pStyle w:val="Naslov1"/>
              <w:rPr>
                <w:rFonts w:eastAsia="Times New Roman"/>
                <w:lang w:eastAsia="hr-HR"/>
              </w:rPr>
            </w:pPr>
            <w:bookmarkStart w:id="25" w:name="_Toc98248010"/>
            <w:r w:rsidRPr="006C3934">
              <w:rPr>
                <w:rFonts w:eastAsia="Times New Roman"/>
                <w:lang w:eastAsia="hr-HR"/>
              </w:rPr>
              <w:t>ZA RAZDOBLJE  01.01. - 31.12.2021. GODINE</w:t>
            </w:r>
            <w:bookmarkEnd w:id="25"/>
          </w:p>
        </w:tc>
      </w:tr>
      <w:tr w:rsidR="00AB2D79" w:rsidRPr="006C3934" w14:paraId="59395D2F" w14:textId="77777777" w:rsidTr="00AB2D79">
        <w:trPr>
          <w:trHeight w:val="415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9FDB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86F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1E663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014F8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3FFD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BB35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3764"/>
                <w:sz w:val="32"/>
                <w:szCs w:val="32"/>
                <w:lang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A21E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25C6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04B4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3934" w:rsidRPr="006C3934" w14:paraId="298B61D6" w14:textId="77777777" w:rsidTr="00AB2D79">
        <w:trPr>
          <w:trHeight w:val="79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B8AE3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003B2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EA832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B6B1F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9D6CE36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2021.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(kn)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B1DA43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20F24B7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 - 31.12.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005B4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B2BC7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6C3934" w:rsidRPr="006C3934" w14:paraId="2D7DB714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521D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5FF97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F130B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E63C4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Izvorni prihodi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A2AC2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B26D5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1A80E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28.848,54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CFC88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4DB0A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144,24</w:t>
            </w:r>
          </w:p>
        </w:tc>
      </w:tr>
      <w:tr w:rsidR="00AB2D79" w:rsidRPr="006C3934" w14:paraId="7B645E8D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42A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9F9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248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8E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Turistička pristojba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0D0C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C0C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4AE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4.382,24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0058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0,46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4A8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219,11</w:t>
            </w:r>
          </w:p>
        </w:tc>
      </w:tr>
      <w:tr w:rsidR="00AB2D79" w:rsidRPr="006C3934" w14:paraId="301429DE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34B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52A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91A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FE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Članarina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177A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7B8A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67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24.466,30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8A2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19D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135,92</w:t>
            </w:r>
          </w:p>
        </w:tc>
      </w:tr>
      <w:tr w:rsidR="006C3934" w:rsidRPr="006C3934" w14:paraId="1419224A" w14:textId="77777777" w:rsidTr="00AB2D79">
        <w:trPr>
          <w:trHeight w:val="843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96FEB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 xml:space="preserve">2.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B5AC5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21A0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CCE81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iz proračuna općine/grada/županije i državnog proračuna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EF9B2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815.000,00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1F41B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81,35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28E59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785.280,89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FBCE9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82,17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30FAF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96,35</w:t>
            </w:r>
          </w:p>
        </w:tc>
      </w:tr>
      <w:tr w:rsidR="00AB2D79" w:rsidRPr="006C3934" w14:paraId="16303020" w14:textId="77777777" w:rsidTr="00AB2D79">
        <w:trPr>
          <w:trHeight w:val="65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451FB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E771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8C5FE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764D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sustava 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 xml:space="preserve">turističkih zajednica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F3D8E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120.651,08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5F9F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12,04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E3CBA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120.651,08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8ABB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12,62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B09AD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B2D79" w:rsidRPr="006C3934" w14:paraId="75C59219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B2FA3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4F6F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3B21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04951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iz EU fondova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D97B8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65164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15788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BD330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C3E0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78445892" w14:textId="77777777" w:rsidTr="00AB2D79">
        <w:trPr>
          <w:trHeight w:val="53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82C25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5735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07C41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FAE2F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gospodarske 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djelatnosti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E1656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FB4A0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53B7D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BFE5D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E1D20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729D1D07" w14:textId="77777777" w:rsidTr="00AB2D79">
        <w:trPr>
          <w:trHeight w:val="6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06D20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B4FDB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750F0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CD201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Preneseni prihod iz 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prethodne godine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5592F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37.142,83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F4ABF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75AAC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11.669,79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244BE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81F4E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31,42</w:t>
            </w:r>
          </w:p>
        </w:tc>
      </w:tr>
      <w:tr w:rsidR="00AB2D79" w:rsidRPr="006C3934" w14:paraId="4F44E897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6F90F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189A6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E889B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F7BD3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prihodi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23E13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40F3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893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9.250,82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67E89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5281A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102,79</w:t>
            </w:r>
          </w:p>
        </w:tc>
      </w:tr>
      <w:tr w:rsidR="006C3934" w:rsidRPr="006C3934" w14:paraId="1A5115D8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9BCB8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0DC291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20A3B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436111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UKUPNO PRIHODI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293A056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1.001.793,91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1EF2CA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F908E0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955.701,12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7A6A04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E60956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95,40</w:t>
            </w:r>
          </w:p>
        </w:tc>
      </w:tr>
      <w:tr w:rsidR="00AB2D79" w:rsidRPr="006C3934" w14:paraId="6B0095D7" w14:textId="77777777" w:rsidTr="00AB2D79">
        <w:trPr>
          <w:trHeight w:val="45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CF7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EE50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4F39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2794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4BDB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EA65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1CB9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E4F6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7FAA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B2D79" w:rsidRPr="006C3934" w14:paraId="6D400BF2" w14:textId="77777777" w:rsidTr="00AB2D79">
        <w:trPr>
          <w:trHeight w:val="45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4754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1C7C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9904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EB5E" w14:textId="77777777" w:rsidR="006C3934" w:rsidRPr="006C3934" w:rsidRDefault="006C3934" w:rsidP="006C3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F68D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5C4F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20EC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848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D48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C3934" w:rsidRPr="006C3934" w14:paraId="53B8B10D" w14:textId="77777777" w:rsidTr="00AB2D79">
        <w:trPr>
          <w:trHeight w:val="8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17443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0A1C5C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2D598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D08202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9186B22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za 2021.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(kn)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D2BA1D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3ABE4F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01.01. - 31.12.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A39306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%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4C1B1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6C3934" w:rsidRPr="006C3934" w14:paraId="53245B71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6D1C2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7DF167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6D692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69126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ISTRAŽIVANJE I STRATEŠKO PLANIRANJE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F2F91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49D53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86A41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519D8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1462F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3B9A846E" w14:textId="77777777" w:rsidTr="00AB2D79">
        <w:trPr>
          <w:trHeight w:val="86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81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473B71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09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3A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Izrada strateških/operativnih/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komunikacijskih/akcijskih/</w:t>
            </w: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dokumenata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D1F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0BC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9DF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45E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C3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0E00AEB9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4E5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BE66742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32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F0F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Istraživanje i analiza tržišta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C5B9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C51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96A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B28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81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183C9D85" w14:textId="77777777" w:rsidTr="00AB2D79">
        <w:trPr>
          <w:trHeight w:val="53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A60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A5E3F6D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185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3A2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Mjerenje učinkovitosti promotivnih aktivnosti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E642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D7C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E24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C4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216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3934" w:rsidRPr="006C3934" w14:paraId="083F185B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73C6E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CA1EEE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7A24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F8A59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RAZVOJ TURISTIČKOG PROIZVODA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F5E6C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427.193,91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A428D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C0201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393.086,13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9B031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41,13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D27E2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92,02</w:t>
            </w:r>
          </w:p>
        </w:tc>
      </w:tr>
      <w:tr w:rsidR="00AB2D79" w:rsidRPr="006C3934" w14:paraId="35A81FB9" w14:textId="77777777" w:rsidTr="00AB2D79">
        <w:trPr>
          <w:trHeight w:val="80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21A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5956E76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95A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4FD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Identifikacija i vrednovanje resursa te strukturiranje turističkih proizvoda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C3C8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11.480,68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FB2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26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11.480,68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27F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273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B2D79" w:rsidRPr="006C3934" w14:paraId="7EBBD1FE" w14:textId="77777777" w:rsidTr="00AB2D79">
        <w:trPr>
          <w:trHeight w:val="53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A6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281487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75F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F59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Podrška razvoju turističkih događanja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7AE0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408.213,23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D66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40,75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B0C2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374.380,45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3E5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39,17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0F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91,71</w:t>
            </w:r>
          </w:p>
        </w:tc>
      </w:tr>
      <w:tr w:rsidR="00AB2D79" w:rsidRPr="006C3934" w14:paraId="585CCAA7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045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BD8772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917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B8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Divan je kićeni Srijem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C0B7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150.364,62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19B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3A4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150.364,62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837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15,73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608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B2D79" w:rsidRPr="006C3934" w14:paraId="4D5B89E6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2C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F2AC662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6A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18B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Sijelo pučkih pisaca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41A1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B6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D64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F99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FB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77B1F42D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27C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BF0D45D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A9C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2.2.3.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29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Našem selu s ljubavlju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67C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7EC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BF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4E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32E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04EA155A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52E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505C813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32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2.2.4.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B53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Pokladno jahanje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D174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162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AC8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1.320,00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1A9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BF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B2D79" w:rsidRPr="006C3934" w14:paraId="5EA8548F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D72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FE84C50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5BA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2.2.5.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C1A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Božić u Nijemcima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C152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227.775,24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35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22,74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1C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193.942,46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5DC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12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85,15</w:t>
            </w:r>
          </w:p>
        </w:tc>
      </w:tr>
      <w:tr w:rsidR="00AB2D79" w:rsidRPr="006C3934" w14:paraId="12497BBF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D4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65BBC3F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5A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2.2.6.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F10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Triatlon rijeke i staze Srijema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76C7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28.753,37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1A6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6B6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28.753,37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6E8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5E4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B2D79" w:rsidRPr="006C3934" w14:paraId="706EE749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053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C5EA722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97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2.2.7.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63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Ljetna večer u Srijemu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E5A7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12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E2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9BD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532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685705AF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D49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08062B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5A8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AF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Podrška turističkoj industriji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A415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8FA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6B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7.225,00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23C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23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96,33</w:t>
            </w:r>
          </w:p>
        </w:tc>
      </w:tr>
      <w:tr w:rsidR="006C3934" w:rsidRPr="006C3934" w14:paraId="74DE1EB8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82032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FBF1328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4EBD4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BFF4C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KOMUNIKACIJA I OGLAŠAVANJE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1F5C8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2D6AD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6915C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59.834,61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75FC7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63346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93,49</w:t>
            </w:r>
          </w:p>
        </w:tc>
      </w:tr>
      <w:tr w:rsidR="00AB2D79" w:rsidRPr="006C3934" w14:paraId="658CE17F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7B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C9190E8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E68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99F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Sajmovi, posebne prezentacije i poslovne radionice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9F4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75B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6B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8.053,50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C64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0,84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696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89,48</w:t>
            </w:r>
          </w:p>
        </w:tc>
      </w:tr>
      <w:tr w:rsidR="00AB2D79" w:rsidRPr="006C3934" w14:paraId="7B045DB9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A4B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EC4048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AB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C61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Suradnja s organizatorima putovanja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0763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DA4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A8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1.709,86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0F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E51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85,49</w:t>
            </w:r>
          </w:p>
        </w:tc>
      </w:tr>
      <w:tr w:rsidR="00AB2D79" w:rsidRPr="006C3934" w14:paraId="538C8C5C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6F2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3910934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E83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F3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Kreiranje promotivnog materijala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D9E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03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89F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37.571,25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70F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3,93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C86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96,34</w:t>
            </w:r>
          </w:p>
        </w:tc>
      </w:tr>
      <w:tr w:rsidR="00AB2D79" w:rsidRPr="006C3934" w14:paraId="5D6C979E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76F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76CED5E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59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496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Internetske stranice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C77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76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94A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506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B20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89,29</w:t>
            </w:r>
          </w:p>
        </w:tc>
      </w:tr>
      <w:tr w:rsidR="00AB2D79" w:rsidRPr="006C3934" w14:paraId="2227EB62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EA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663FED2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C5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8BA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Kreiranje i upravljanje bazama turističkih podataka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AE65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C12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6A7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E50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DA9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7C81BEEB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C7F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46E60B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600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45E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Turističko-informativne aktivnosti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EAD1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475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5FC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4E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D3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3934" w:rsidRPr="006C3934" w14:paraId="69BD9001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863E5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111C0DA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206F1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51D36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DESTINACIJSKI MENADŽMENT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27729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60.500,00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645E8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8B400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60.422,00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2518D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372CC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99,87</w:t>
            </w:r>
          </w:p>
        </w:tc>
      </w:tr>
      <w:tr w:rsidR="00AB2D79" w:rsidRPr="006C3934" w14:paraId="159F92CF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BA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7AB78C7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32F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5BA4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Turistički informacijski sustavi i aplikacije /</w:t>
            </w:r>
            <w:proofErr w:type="spellStart"/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eVisitor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56C9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61D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F4F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26E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C3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58F66226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BE1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DBCE06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E46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49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Upravljanje kvalitetom u destinaciji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2876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60.500,00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49D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D1B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60.422,00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544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6,32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98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99,87</w:t>
            </w:r>
          </w:p>
        </w:tc>
      </w:tr>
      <w:tr w:rsidR="00AB2D79" w:rsidRPr="006C3934" w14:paraId="4D7DF5BD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56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F485D01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AED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CF1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Poticanje na očuvanje i uređenje okoliša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C513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823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5C4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6B1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7F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3934" w:rsidRPr="006C3934" w14:paraId="24C7F777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49354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78E4BB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FBCB2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AD73E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ADMINISTRATIVNI POSLOVI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45465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450.100,00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A8E32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20388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442.358,38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262EB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46,29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DB3D3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98,28</w:t>
            </w:r>
          </w:p>
        </w:tc>
      </w:tr>
      <w:tr w:rsidR="00AB2D79" w:rsidRPr="006C3934" w14:paraId="4038765D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689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E5188C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93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9E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Plaće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4520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343.000,00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258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011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341.744,32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C2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35,76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899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99,63</w:t>
            </w:r>
          </w:p>
        </w:tc>
      </w:tr>
      <w:tr w:rsidR="00AB2D79" w:rsidRPr="006C3934" w14:paraId="2DE9C9C0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9CD5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8A896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93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648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troškovi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6632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019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0C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99.514,06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85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10,41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C0F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93,88</w:t>
            </w:r>
          </w:p>
        </w:tc>
      </w:tr>
      <w:tr w:rsidR="00AB2D79" w:rsidRPr="006C3934" w14:paraId="0AD7CE93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895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FB9B59A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B26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5.3.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207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Tijela turističke zajednice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B087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75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216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567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C17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AB2D79" w:rsidRPr="006C3934" w14:paraId="051FAA7D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A20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9811BC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237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6.4.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66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Troškovi poslovanja mreže predstavništava/ ispostava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1C4E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AE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19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2E4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9A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3934" w:rsidRPr="006C3934" w14:paraId="744A4013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C40B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EAACAD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34CD08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AAA2D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REZERVA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350FE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AF106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159F0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81DAC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3EAF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3934" w:rsidRPr="006C3934" w14:paraId="35E92F3A" w14:textId="77777777" w:rsidTr="00AB2D79">
        <w:trPr>
          <w:trHeight w:val="771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890F2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816A3D5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97EE5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9FF9F0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POKRIVANJE MANJKA PRIHODA IZ PRETHODNE GODINE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44671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32F32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A81D2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733B2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B14D24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C3934" w:rsidRPr="006C3934" w14:paraId="30717908" w14:textId="77777777" w:rsidTr="00AB2D79">
        <w:trPr>
          <w:trHeight w:val="492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DC5930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FA6F81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38793A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338EBB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UKUPNO RASHODI 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9B8FC6A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1.001.793,91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8B85C6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3BEAD5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955.701,12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50CEA9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B90E36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95,40</w:t>
            </w:r>
          </w:p>
        </w:tc>
      </w:tr>
      <w:tr w:rsidR="00AB2D79" w:rsidRPr="006C3934" w14:paraId="714DF70F" w14:textId="77777777" w:rsidTr="00AB2D79">
        <w:trPr>
          <w:trHeight w:val="492"/>
        </w:trPr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3CF6CF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520F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8AC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2BEB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BC0C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EAE7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8CD5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AA44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D79" w:rsidRPr="006C3934" w14:paraId="6874E1C5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F98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1708C49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70A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E5D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88EF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63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98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1348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8FF1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C3934" w:rsidRPr="006C3934" w14:paraId="1204FDA0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063ED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5A6D7F6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B7E83D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5526F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FONDOVI - posebne namjene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C5353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97442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1DE5A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002A15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5B4F7B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67C857BF" w14:textId="77777777" w:rsidTr="00AB2D79">
        <w:trPr>
          <w:trHeight w:val="1081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91BA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1D8C07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AE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1F6E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Fond za turističke zajednice na  turistički nedovoljno razvijenim područjima i kontinentu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297D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07D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9D1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5B3C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E057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0D38739F" w14:textId="77777777" w:rsidTr="00AB2D79">
        <w:trPr>
          <w:trHeight w:val="55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3B0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74C3C0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3C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39D7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Fond za projekte udruženih turističkih zajednica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9D10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122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4233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599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14F9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09DE1B31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49B8421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CCCA0C9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1141017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E2A9F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UKUPNO RASHODI 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639E6FB8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FFFFFF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030D8A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FFFFFF"/>
                <w:lang w:eastAsia="hr-HR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7CF3A32D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FFFFFF"/>
                <w:lang w:eastAsia="hr-HR"/>
              </w:rPr>
              <w:t>0,00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9C7FDDE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FFFFFF"/>
                <w:lang w:eastAsia="hr-HR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86305B0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AB2D79" w:rsidRPr="006C3934" w14:paraId="24BD58C1" w14:textId="77777777" w:rsidTr="00AB2D79">
        <w:trPr>
          <w:trHeight w:val="4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C9C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43E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59A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A61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4FE7B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AD52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E733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6326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778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B2D79" w:rsidRPr="006C3934" w14:paraId="08384D83" w14:textId="77777777" w:rsidTr="00AB2D79">
        <w:trPr>
          <w:trHeight w:val="905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305496"/>
            <w:vAlign w:val="center"/>
            <w:hideMark/>
          </w:tcPr>
          <w:p w14:paraId="0F02B99C" w14:textId="77777777" w:rsidR="006C3934" w:rsidRPr="006C3934" w:rsidRDefault="006C3934" w:rsidP="006C39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TOTAL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9752CF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650D7CC" w14:textId="77777777" w:rsidR="006C3934" w:rsidRPr="006C3934" w:rsidRDefault="006C3934" w:rsidP="006C3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SVEUKUPNO RASHODI 1 + RASHODI 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067365A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1.001.793,91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1410A35F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D584136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955.701,12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1DCA9C52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100,00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0DBB841" w14:textId="77777777" w:rsidR="006C3934" w:rsidRPr="006C3934" w:rsidRDefault="006C3934" w:rsidP="006C39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6C3934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95,40</w:t>
            </w:r>
          </w:p>
        </w:tc>
      </w:tr>
    </w:tbl>
    <w:p w14:paraId="46A8B517" w14:textId="77777777" w:rsidR="003A7394" w:rsidRPr="006C3934" w:rsidRDefault="003A7394" w:rsidP="00114134">
      <w:pPr>
        <w:pStyle w:val="Normal1"/>
        <w:spacing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14:paraId="29E7D5C0" w14:textId="148EB52E" w:rsidR="009009E1" w:rsidRPr="00DC45F1" w:rsidRDefault="008D2F0A" w:rsidP="00DC45F1">
      <w:pPr>
        <w:pStyle w:val="Normal1"/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  <w:r w:rsidRPr="00114134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2E8C5886" w14:textId="49E12EF9" w:rsidR="009009E1" w:rsidRPr="00114134" w:rsidRDefault="009009E1" w:rsidP="00114134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5D0158EA" w14:textId="167BE72F" w:rsidR="00631995" w:rsidRPr="00114134" w:rsidRDefault="00B03674" w:rsidP="00AB2D79">
      <w:pPr>
        <w:pStyle w:val="Naslov1"/>
        <w:numPr>
          <w:ilvl w:val="0"/>
          <w:numId w:val="30"/>
        </w:numPr>
      </w:pPr>
      <w:bookmarkStart w:id="26" w:name="_Toc98248011"/>
      <w:r w:rsidRPr="00114134">
        <w:t>ZAKLJUČAK</w:t>
      </w:r>
      <w:bookmarkEnd w:id="26"/>
      <w:r w:rsidRPr="00114134">
        <w:t xml:space="preserve"> </w:t>
      </w:r>
    </w:p>
    <w:p w14:paraId="118E3029" w14:textId="77777777" w:rsidR="00B03674" w:rsidRPr="00114134" w:rsidRDefault="00B03674" w:rsidP="00114134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54D2BE1" w14:textId="521C6083" w:rsidR="002A032B" w:rsidRPr="00114134" w:rsidRDefault="00631995" w:rsidP="0011413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Izvršenje financijskog plana za 20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DC45F1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. godinu vršilo se na način da su se sredstva trošila u skladu s ostvarenim veličinama, te u funkciji zadaća utvrđenih Programom rada za 20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B15323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godinu i 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prvog i drugog </w:t>
      </w: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rebalansa usvojenog na Sjednici Skupštine održanoj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3</w:t>
      </w:r>
      <w:r w:rsidR="00B15323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="00B1532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prosinca</w:t>
      </w: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B15323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godine. 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TZO Nijemci  je tijekom 20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B15323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godine radila prema usvojenom 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Programu rada s financijskim planom 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TZO Nijemci za 20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B15323">
        <w:rPr>
          <w:rFonts w:asciiTheme="majorHAnsi" w:hAnsiTheme="majorHAnsi" w:cstheme="majorHAnsi"/>
          <w:color w:val="000000" w:themeColor="text1"/>
          <w:sz w:val="24"/>
          <w:szCs w:val="24"/>
        </w:rPr>
        <w:t>1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godinu koji je donesen u skladu sa Zakonom i standardima u sustavu turističkih zajednica te usvojen na Sjednici Skupštine održanoj </w:t>
      </w:r>
      <w:r w:rsidR="00EC0328">
        <w:rPr>
          <w:rFonts w:asciiTheme="majorHAnsi" w:hAnsiTheme="majorHAnsi" w:cstheme="majorHAnsi"/>
          <w:color w:val="000000" w:themeColor="text1"/>
          <w:sz w:val="24"/>
          <w:szCs w:val="24"/>
        </w:rPr>
        <w:t>u prosincu 2020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. godine, a temeljem prijedloga Turističkog vijeća usvojenog na  sjednici Turističkog vijeća održanoj</w:t>
      </w:r>
      <w:r w:rsidR="00804C14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C0328">
        <w:rPr>
          <w:rFonts w:asciiTheme="majorHAnsi" w:hAnsiTheme="majorHAnsi" w:cstheme="majorHAnsi"/>
          <w:color w:val="000000" w:themeColor="text1"/>
          <w:sz w:val="24"/>
          <w:szCs w:val="24"/>
        </w:rPr>
        <w:t>također u prosincu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</w:t>
      </w:r>
      <w:r w:rsidR="00EC0328">
        <w:rPr>
          <w:rFonts w:asciiTheme="majorHAnsi" w:hAnsiTheme="majorHAnsi" w:cstheme="majorHAnsi"/>
          <w:color w:val="000000" w:themeColor="text1"/>
          <w:sz w:val="24"/>
          <w:szCs w:val="24"/>
        </w:rPr>
        <w:t>21</w:t>
      </w:r>
      <w:r w:rsidR="00B37686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. godine</w:t>
      </w:r>
      <w:r w:rsidR="00557DDF" w:rsidRPr="00114134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0581F757" w14:textId="77777777" w:rsidR="00EA1205" w:rsidRPr="00EA1205" w:rsidRDefault="00EA1205" w:rsidP="00EA12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</w:pPr>
      <w:r w:rsidRPr="00EA1205"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  <w:t xml:space="preserve">Turistička zajednica općine Nijemci u 2021. godini je vodila poslovanje sukladno propisima, Statutu, pravilnicima Zajednice te odlukama tijela Zajednice. </w:t>
      </w:r>
    </w:p>
    <w:p w14:paraId="65FA84AB" w14:textId="77777777" w:rsidR="00EA1205" w:rsidRPr="00EA1205" w:rsidRDefault="00EA1205" w:rsidP="00EA12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</w:pPr>
      <w:r w:rsidRPr="00EA1205"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  <w:t xml:space="preserve">Materijalno i financijsko poslovanje i raspolaganje sredstvima Turističke zajednice općine Nijemci vođeno je sukladno svim propisima, odlukama i u skladu s internim ovlastima te stvarnom i realnom stanju. </w:t>
      </w:r>
    </w:p>
    <w:p w14:paraId="56C07993" w14:textId="77777777" w:rsidR="00EA1205" w:rsidRPr="00EA1205" w:rsidRDefault="00EA1205" w:rsidP="00EA12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</w:pPr>
      <w:r w:rsidRPr="00EA1205">
        <w:rPr>
          <w:rFonts w:asciiTheme="majorHAnsi" w:hAnsiTheme="majorHAnsi" w:cstheme="majorHAnsi"/>
          <w:bCs/>
          <w:iCs/>
          <w:color w:val="000000" w:themeColor="text1"/>
          <w:sz w:val="24"/>
          <w:szCs w:val="24"/>
        </w:rPr>
        <w:t xml:space="preserve">Turistička zajednica općine Nijemci izvršavala je Program rada s financijskim planom za 2021. godinu u skladu sa svim procedurama i stvarnoj mogućnosti ostvarenja. </w:t>
      </w:r>
    </w:p>
    <w:p w14:paraId="1F0C841C" w14:textId="49E33146" w:rsidR="00893D78" w:rsidRDefault="00893D78" w:rsidP="009009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C2ACD14" w14:textId="77777777" w:rsidR="00893D78" w:rsidRDefault="00893D78" w:rsidP="00893D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2732C27F" w14:textId="77777777" w:rsidR="00893D78" w:rsidRDefault="00893D78" w:rsidP="00893D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</w:p>
    <w:p w14:paraId="2BE62279" w14:textId="210A6789" w:rsidR="00893D78" w:rsidRDefault="00893D78" w:rsidP="00893D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Predsjednik</w:t>
      </w:r>
    </w:p>
    <w:p w14:paraId="6A65B9D6" w14:textId="54F1B5D2" w:rsidR="00893D78" w:rsidRDefault="00893D78" w:rsidP="00893D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TZ  općine Nijemci </w:t>
      </w:r>
    </w:p>
    <w:p w14:paraId="57D92F86" w14:textId="66BAF941" w:rsidR="00893D78" w:rsidRDefault="00893D78" w:rsidP="00893D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Vjekoslav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Belajević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ing.prometa</w:t>
      </w:r>
      <w:proofErr w:type="spellEnd"/>
    </w:p>
    <w:p w14:paraId="2C325284" w14:textId="21946C2B" w:rsidR="00893D78" w:rsidRDefault="00893D78" w:rsidP="009009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6067BC5" w14:textId="77777777" w:rsidR="00893D78" w:rsidRDefault="00893D78" w:rsidP="009009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0711A3C" w14:textId="6AF343A6" w:rsidR="00893D78" w:rsidRPr="00804C14" w:rsidRDefault="00893D78" w:rsidP="009009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UR.BROJ: </w:t>
      </w:r>
      <w:r w:rsidR="00107C1E">
        <w:rPr>
          <w:rFonts w:cstheme="minorHAnsi"/>
          <w:color w:val="000000" w:themeColor="text1"/>
          <w:sz w:val="24"/>
          <w:szCs w:val="24"/>
        </w:rPr>
        <w:t>14</w:t>
      </w:r>
      <w:r>
        <w:rPr>
          <w:rFonts w:cstheme="minorHAnsi"/>
          <w:color w:val="000000" w:themeColor="text1"/>
          <w:sz w:val="24"/>
          <w:szCs w:val="24"/>
        </w:rPr>
        <w:t>-I/202</w:t>
      </w:r>
      <w:r w:rsidR="00107C1E">
        <w:rPr>
          <w:rFonts w:cstheme="minorHAnsi"/>
          <w:color w:val="000000" w:themeColor="text1"/>
          <w:sz w:val="24"/>
          <w:szCs w:val="24"/>
        </w:rPr>
        <w:t>2</w:t>
      </w:r>
    </w:p>
    <w:sectPr w:rsidR="00893D78" w:rsidRPr="00804C14" w:rsidSect="009009E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5A05" w14:textId="77777777" w:rsidR="00893664" w:rsidRDefault="00893664" w:rsidP="000D68BB">
      <w:pPr>
        <w:spacing w:after="0" w:line="240" w:lineRule="auto"/>
      </w:pPr>
      <w:r>
        <w:separator/>
      </w:r>
    </w:p>
  </w:endnote>
  <w:endnote w:type="continuationSeparator" w:id="0">
    <w:p w14:paraId="62A0D40F" w14:textId="77777777" w:rsidR="00893664" w:rsidRDefault="00893664" w:rsidP="000D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502373"/>
      <w:docPartObj>
        <w:docPartGallery w:val="Page Numbers (Bottom of Page)"/>
        <w:docPartUnique/>
      </w:docPartObj>
    </w:sdtPr>
    <w:sdtEndPr/>
    <w:sdtContent>
      <w:p w14:paraId="0F51B1C5" w14:textId="258C3013" w:rsidR="0040741F" w:rsidRDefault="0040741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8381" w14:textId="77777777" w:rsidR="0040741F" w:rsidRDefault="004074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E597" w14:textId="77777777" w:rsidR="00893664" w:rsidRDefault="00893664" w:rsidP="000D68BB">
      <w:pPr>
        <w:spacing w:after="0" w:line="240" w:lineRule="auto"/>
      </w:pPr>
      <w:r>
        <w:separator/>
      </w:r>
    </w:p>
  </w:footnote>
  <w:footnote w:type="continuationSeparator" w:id="0">
    <w:p w14:paraId="3230A7CC" w14:textId="77777777" w:rsidR="00893664" w:rsidRDefault="00893664" w:rsidP="000D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366E9B98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15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7419EC"/>
    <w:multiLevelType w:val="hybridMultilevel"/>
    <w:tmpl w:val="52B43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10D9"/>
    <w:multiLevelType w:val="hybridMultilevel"/>
    <w:tmpl w:val="F3D85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73BB"/>
    <w:multiLevelType w:val="hybridMultilevel"/>
    <w:tmpl w:val="3C446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1BA0"/>
    <w:multiLevelType w:val="hybridMultilevel"/>
    <w:tmpl w:val="E2128E8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F97D1C"/>
    <w:multiLevelType w:val="hybridMultilevel"/>
    <w:tmpl w:val="CF767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8517D"/>
    <w:multiLevelType w:val="hybridMultilevel"/>
    <w:tmpl w:val="EC52CA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45AC3"/>
    <w:multiLevelType w:val="hybridMultilevel"/>
    <w:tmpl w:val="6706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94450"/>
    <w:multiLevelType w:val="hybridMultilevel"/>
    <w:tmpl w:val="C34E2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F5DB9"/>
    <w:multiLevelType w:val="hybridMultilevel"/>
    <w:tmpl w:val="93DA7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A0138"/>
    <w:multiLevelType w:val="hybridMultilevel"/>
    <w:tmpl w:val="8FF64A18"/>
    <w:lvl w:ilvl="0" w:tplc="DB12F4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3ABF"/>
    <w:multiLevelType w:val="hybridMultilevel"/>
    <w:tmpl w:val="B3D46C66"/>
    <w:lvl w:ilvl="0" w:tplc="FC2EF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62F7A"/>
    <w:multiLevelType w:val="hybridMultilevel"/>
    <w:tmpl w:val="E932C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5377"/>
    <w:multiLevelType w:val="hybridMultilevel"/>
    <w:tmpl w:val="5AA61752"/>
    <w:lvl w:ilvl="0" w:tplc="BDDE6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2C0AD8"/>
    <w:multiLevelType w:val="hybridMultilevel"/>
    <w:tmpl w:val="676C3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478D3"/>
    <w:multiLevelType w:val="hybridMultilevel"/>
    <w:tmpl w:val="043A8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73220"/>
    <w:multiLevelType w:val="hybridMultilevel"/>
    <w:tmpl w:val="90826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B6705"/>
    <w:multiLevelType w:val="hybridMultilevel"/>
    <w:tmpl w:val="F0B27E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0285AAB"/>
    <w:multiLevelType w:val="multilevel"/>
    <w:tmpl w:val="B9801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8E7B3B"/>
    <w:multiLevelType w:val="hybridMultilevel"/>
    <w:tmpl w:val="D6DE7F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6DC2"/>
    <w:multiLevelType w:val="hybridMultilevel"/>
    <w:tmpl w:val="F708A648"/>
    <w:lvl w:ilvl="0" w:tplc="C776A5E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B4477"/>
    <w:multiLevelType w:val="hybridMultilevel"/>
    <w:tmpl w:val="693814CC"/>
    <w:lvl w:ilvl="0" w:tplc="C11AAEF4">
      <w:start w:val="1"/>
      <w:numFmt w:val="lowerLetter"/>
      <w:lvlText w:val="%1)"/>
      <w:lvlJc w:val="left"/>
      <w:pPr>
        <w:ind w:left="1080" w:hanging="360"/>
      </w:pPr>
      <w:rPr>
        <w:rFonts w:ascii="Garamond" w:hAnsi="Garamond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8146AD"/>
    <w:multiLevelType w:val="hybridMultilevel"/>
    <w:tmpl w:val="8BA22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1599B"/>
    <w:multiLevelType w:val="hybridMultilevel"/>
    <w:tmpl w:val="693EF06E"/>
    <w:lvl w:ilvl="0" w:tplc="35ECED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C7A3E"/>
    <w:multiLevelType w:val="hybridMultilevel"/>
    <w:tmpl w:val="C2909F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75D4D"/>
    <w:multiLevelType w:val="hybridMultilevel"/>
    <w:tmpl w:val="1A58E2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07ADC"/>
    <w:multiLevelType w:val="hybridMultilevel"/>
    <w:tmpl w:val="2884C8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0527"/>
    <w:multiLevelType w:val="hybridMultilevel"/>
    <w:tmpl w:val="76F07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950E3"/>
    <w:multiLevelType w:val="hybridMultilevel"/>
    <w:tmpl w:val="9F9CB0B4"/>
    <w:lvl w:ilvl="0" w:tplc="E772AFB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222222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FB646E"/>
    <w:multiLevelType w:val="hybridMultilevel"/>
    <w:tmpl w:val="820ED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C34DA"/>
    <w:multiLevelType w:val="hybridMultilevel"/>
    <w:tmpl w:val="CB66B3B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6896"/>
    <w:multiLevelType w:val="hybridMultilevel"/>
    <w:tmpl w:val="885498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F16F1"/>
    <w:multiLevelType w:val="hybridMultilevel"/>
    <w:tmpl w:val="4D00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0"/>
  </w:num>
  <w:num w:numId="7">
    <w:abstractNumId w:val="25"/>
  </w:num>
  <w:num w:numId="8">
    <w:abstractNumId w:val="5"/>
  </w:num>
  <w:num w:numId="9">
    <w:abstractNumId w:val="23"/>
  </w:num>
  <w:num w:numId="10">
    <w:abstractNumId w:val="12"/>
  </w:num>
  <w:num w:numId="11">
    <w:abstractNumId w:val="8"/>
  </w:num>
  <w:num w:numId="12">
    <w:abstractNumId w:val="14"/>
  </w:num>
  <w:num w:numId="13">
    <w:abstractNumId w:val="3"/>
  </w:num>
  <w:num w:numId="14">
    <w:abstractNumId w:val="33"/>
  </w:num>
  <w:num w:numId="15">
    <w:abstractNumId w:val="1"/>
  </w:num>
  <w:num w:numId="16">
    <w:abstractNumId w:val="19"/>
  </w:num>
  <w:num w:numId="17">
    <w:abstractNumId w:val="27"/>
  </w:num>
  <w:num w:numId="18">
    <w:abstractNumId w:val="22"/>
  </w:num>
  <w:num w:numId="19">
    <w:abstractNumId w:val="21"/>
  </w:num>
  <w:num w:numId="20">
    <w:abstractNumId w:val="16"/>
  </w:num>
  <w:num w:numId="21">
    <w:abstractNumId w:val="31"/>
  </w:num>
  <w:num w:numId="22">
    <w:abstractNumId w:val="30"/>
  </w:num>
  <w:num w:numId="23">
    <w:abstractNumId w:val="24"/>
  </w:num>
  <w:num w:numId="24">
    <w:abstractNumId w:val="11"/>
  </w:num>
  <w:num w:numId="25">
    <w:abstractNumId w:val="29"/>
  </w:num>
  <w:num w:numId="26">
    <w:abstractNumId w:val="18"/>
  </w:num>
  <w:num w:numId="27">
    <w:abstractNumId w:val="26"/>
  </w:num>
  <w:num w:numId="28">
    <w:abstractNumId w:val="15"/>
  </w:num>
  <w:num w:numId="29">
    <w:abstractNumId w:val="20"/>
  </w:num>
  <w:num w:numId="30">
    <w:abstractNumId w:val="28"/>
  </w:num>
  <w:num w:numId="31">
    <w:abstractNumId w:val="6"/>
  </w:num>
  <w:num w:numId="32">
    <w:abstractNumId w:val="32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7A"/>
    <w:rsid w:val="00062942"/>
    <w:rsid w:val="00095514"/>
    <w:rsid w:val="000A22B8"/>
    <w:rsid w:val="000A3702"/>
    <w:rsid w:val="000C18EF"/>
    <w:rsid w:val="000C66D0"/>
    <w:rsid w:val="000D68BB"/>
    <w:rsid w:val="000E2C1F"/>
    <w:rsid w:val="000F2016"/>
    <w:rsid w:val="00107C1E"/>
    <w:rsid w:val="00114134"/>
    <w:rsid w:val="00172420"/>
    <w:rsid w:val="00194A01"/>
    <w:rsid w:val="001A342C"/>
    <w:rsid w:val="001B4D94"/>
    <w:rsid w:val="001B6CC6"/>
    <w:rsid w:val="001D084A"/>
    <w:rsid w:val="002037F5"/>
    <w:rsid w:val="00210481"/>
    <w:rsid w:val="00220F27"/>
    <w:rsid w:val="0022759F"/>
    <w:rsid w:val="00261AFC"/>
    <w:rsid w:val="0026490F"/>
    <w:rsid w:val="0027712C"/>
    <w:rsid w:val="00280FA9"/>
    <w:rsid w:val="002A032B"/>
    <w:rsid w:val="002A7839"/>
    <w:rsid w:val="002A7891"/>
    <w:rsid w:val="002B6929"/>
    <w:rsid w:val="002C177E"/>
    <w:rsid w:val="002D1E52"/>
    <w:rsid w:val="003157C2"/>
    <w:rsid w:val="003428CB"/>
    <w:rsid w:val="0034356A"/>
    <w:rsid w:val="00343620"/>
    <w:rsid w:val="00354CCC"/>
    <w:rsid w:val="00384E59"/>
    <w:rsid w:val="003A0FCB"/>
    <w:rsid w:val="003A7394"/>
    <w:rsid w:val="003D425D"/>
    <w:rsid w:val="003E39D3"/>
    <w:rsid w:val="003E582A"/>
    <w:rsid w:val="0040741F"/>
    <w:rsid w:val="004253F8"/>
    <w:rsid w:val="00435E2D"/>
    <w:rsid w:val="00463873"/>
    <w:rsid w:val="004933E6"/>
    <w:rsid w:val="004D20DC"/>
    <w:rsid w:val="004D2DA4"/>
    <w:rsid w:val="004D4652"/>
    <w:rsid w:val="004E6738"/>
    <w:rsid w:val="00521901"/>
    <w:rsid w:val="0053644A"/>
    <w:rsid w:val="00557DDF"/>
    <w:rsid w:val="0056315C"/>
    <w:rsid w:val="005642E6"/>
    <w:rsid w:val="005B6AE7"/>
    <w:rsid w:val="005E4866"/>
    <w:rsid w:val="005F2FBB"/>
    <w:rsid w:val="005F6B92"/>
    <w:rsid w:val="00602A46"/>
    <w:rsid w:val="00623818"/>
    <w:rsid w:val="0062604A"/>
    <w:rsid w:val="006265C1"/>
    <w:rsid w:val="00631995"/>
    <w:rsid w:val="006440FF"/>
    <w:rsid w:val="00664FF4"/>
    <w:rsid w:val="00672495"/>
    <w:rsid w:val="006B286E"/>
    <w:rsid w:val="006B2A18"/>
    <w:rsid w:val="006B32FA"/>
    <w:rsid w:val="006B3A46"/>
    <w:rsid w:val="006C1E2C"/>
    <w:rsid w:val="006C3934"/>
    <w:rsid w:val="006F4386"/>
    <w:rsid w:val="007102A5"/>
    <w:rsid w:val="007210B0"/>
    <w:rsid w:val="007836D3"/>
    <w:rsid w:val="0078644F"/>
    <w:rsid w:val="007B3A27"/>
    <w:rsid w:val="007B3ECF"/>
    <w:rsid w:val="007E7DF2"/>
    <w:rsid w:val="00804C14"/>
    <w:rsid w:val="00811664"/>
    <w:rsid w:val="00817F5E"/>
    <w:rsid w:val="00831449"/>
    <w:rsid w:val="0084134B"/>
    <w:rsid w:val="008432EC"/>
    <w:rsid w:val="00845306"/>
    <w:rsid w:val="00857C3E"/>
    <w:rsid w:val="00893664"/>
    <w:rsid w:val="00893D78"/>
    <w:rsid w:val="008D25A7"/>
    <w:rsid w:val="008D2F0A"/>
    <w:rsid w:val="008D4ED7"/>
    <w:rsid w:val="008D72E9"/>
    <w:rsid w:val="008E32DB"/>
    <w:rsid w:val="009009E1"/>
    <w:rsid w:val="00931865"/>
    <w:rsid w:val="00937B18"/>
    <w:rsid w:val="00954B26"/>
    <w:rsid w:val="00965FE5"/>
    <w:rsid w:val="00977B0F"/>
    <w:rsid w:val="00981129"/>
    <w:rsid w:val="00992301"/>
    <w:rsid w:val="00992D16"/>
    <w:rsid w:val="009B5996"/>
    <w:rsid w:val="009D2208"/>
    <w:rsid w:val="009E11DD"/>
    <w:rsid w:val="009E1E93"/>
    <w:rsid w:val="00A05C96"/>
    <w:rsid w:val="00A105B0"/>
    <w:rsid w:val="00A22475"/>
    <w:rsid w:val="00A34D36"/>
    <w:rsid w:val="00A677C2"/>
    <w:rsid w:val="00A86981"/>
    <w:rsid w:val="00A87791"/>
    <w:rsid w:val="00AA4494"/>
    <w:rsid w:val="00AB2D79"/>
    <w:rsid w:val="00AC05B7"/>
    <w:rsid w:val="00AC7350"/>
    <w:rsid w:val="00AD2F7F"/>
    <w:rsid w:val="00AD75DA"/>
    <w:rsid w:val="00AE740C"/>
    <w:rsid w:val="00B03674"/>
    <w:rsid w:val="00B15323"/>
    <w:rsid w:val="00B247B6"/>
    <w:rsid w:val="00B37686"/>
    <w:rsid w:val="00B91A90"/>
    <w:rsid w:val="00B9727E"/>
    <w:rsid w:val="00BA03CC"/>
    <w:rsid w:val="00BB26C0"/>
    <w:rsid w:val="00BE4C0E"/>
    <w:rsid w:val="00BF374A"/>
    <w:rsid w:val="00C540B9"/>
    <w:rsid w:val="00C542E6"/>
    <w:rsid w:val="00CA511C"/>
    <w:rsid w:val="00D16746"/>
    <w:rsid w:val="00D23A67"/>
    <w:rsid w:val="00D25B50"/>
    <w:rsid w:val="00D366B9"/>
    <w:rsid w:val="00D466A1"/>
    <w:rsid w:val="00D471F8"/>
    <w:rsid w:val="00D96112"/>
    <w:rsid w:val="00DC26AD"/>
    <w:rsid w:val="00DC45F1"/>
    <w:rsid w:val="00DD557A"/>
    <w:rsid w:val="00DF05D4"/>
    <w:rsid w:val="00E31A5D"/>
    <w:rsid w:val="00E4119E"/>
    <w:rsid w:val="00E47FCF"/>
    <w:rsid w:val="00E62EA1"/>
    <w:rsid w:val="00E668C4"/>
    <w:rsid w:val="00EA1205"/>
    <w:rsid w:val="00EB2D4F"/>
    <w:rsid w:val="00EC0328"/>
    <w:rsid w:val="00EC7681"/>
    <w:rsid w:val="00ED7EAB"/>
    <w:rsid w:val="00F0393C"/>
    <w:rsid w:val="00F32384"/>
    <w:rsid w:val="00F81FDA"/>
    <w:rsid w:val="00F85ADB"/>
    <w:rsid w:val="00F93ED5"/>
    <w:rsid w:val="00FC31D8"/>
    <w:rsid w:val="00FD2455"/>
    <w:rsid w:val="00FE04A6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49404"/>
  <w15:chartTrackingRefBased/>
  <w15:docId w15:val="{FA2FF911-D4E8-499F-97D8-EE2EE9A8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5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53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032B"/>
    <w:pPr>
      <w:ind w:left="720"/>
      <w:contextualSpacing/>
    </w:pPr>
  </w:style>
  <w:style w:type="table" w:styleId="Reetkatablice">
    <w:name w:val="Table Grid"/>
    <w:basedOn w:val="Obinatablica"/>
    <w:uiPriority w:val="39"/>
    <w:rsid w:val="000E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B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B69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locked/>
    <w:rsid w:val="00631995"/>
    <w:rPr>
      <w:rFonts w:ascii="Garamond" w:eastAsia="Times New Roman" w:hAnsi="Garamond" w:cs="Times New Roman"/>
      <w:sz w:val="24"/>
      <w:szCs w:val="20"/>
    </w:rPr>
  </w:style>
  <w:style w:type="paragraph" w:styleId="Tijeloteksta">
    <w:name w:val="Body Text"/>
    <w:aliases w:val="uvlaka 3,uvlaka 2"/>
    <w:basedOn w:val="Normal"/>
    <w:link w:val="TijelotekstaChar"/>
    <w:unhideWhenUsed/>
    <w:rsid w:val="00631995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TijelotekstaChar1">
    <w:name w:val="Tijelo teksta Char1"/>
    <w:basedOn w:val="Zadanifontodlomka"/>
    <w:uiPriority w:val="99"/>
    <w:semiHidden/>
    <w:rsid w:val="00631995"/>
  </w:style>
  <w:style w:type="table" w:styleId="Tablicareetke4-isticanje5">
    <w:name w:val="Grid Table 4 Accent 5"/>
    <w:basedOn w:val="Obinatablica"/>
    <w:uiPriority w:val="49"/>
    <w:rsid w:val="008314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0D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68BB"/>
  </w:style>
  <w:style w:type="paragraph" w:styleId="Podnoje">
    <w:name w:val="footer"/>
    <w:basedOn w:val="Normal"/>
    <w:link w:val="PodnojeChar"/>
    <w:uiPriority w:val="99"/>
    <w:unhideWhenUsed/>
    <w:rsid w:val="000D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68BB"/>
  </w:style>
  <w:style w:type="paragraph" w:customStyle="1" w:styleId="Normal1">
    <w:name w:val="Normal1"/>
    <w:rsid w:val="001A342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937B18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84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453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53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4D20D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D20DC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D20DC"/>
    <w:pPr>
      <w:tabs>
        <w:tab w:val="right" w:leader="dot" w:pos="9062"/>
      </w:tabs>
      <w:spacing w:after="100"/>
      <w:ind w:left="220"/>
    </w:pPr>
    <w:rPr>
      <w:noProof/>
    </w:rPr>
  </w:style>
  <w:style w:type="paragraph" w:styleId="Sadraj3">
    <w:name w:val="toc 3"/>
    <w:basedOn w:val="Normal"/>
    <w:next w:val="Normal"/>
    <w:autoRedefine/>
    <w:uiPriority w:val="39"/>
    <w:unhideWhenUsed/>
    <w:rsid w:val="004D20D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Dolasci</a:t>
            </a:r>
            <a:r>
              <a:rPr lang="hr-HR" baseline="0"/>
              <a:t> i noćenja ostvareni u 2021. godini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Domaći</c:v>
                </c:pt>
                <c:pt idx="1">
                  <c:v>Strani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281</c:v>
                </c:pt>
                <c:pt idx="1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8C-402A-AF32-6F81597396B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Domaći</c:v>
                </c:pt>
                <c:pt idx="1">
                  <c:v>Strani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850</c:v>
                </c:pt>
                <c:pt idx="1">
                  <c:v>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8C-402A-AF32-6F8159739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003407"/>
        <c:axId val="61005903"/>
      </c:barChart>
      <c:catAx>
        <c:axId val="61003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005903"/>
        <c:crosses val="autoZero"/>
        <c:auto val="1"/>
        <c:lblAlgn val="ctr"/>
        <c:lblOffset val="100"/>
        <c:noMultiLvlLbl val="0"/>
      </c:catAx>
      <c:valAx>
        <c:axId val="61005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003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OSTVARENI BROJ DOLAZAKA I NOĆENJA PO DRŽAVAMA U 2021.GOD.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Dolasci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List1!$A$2:$A$28</c:f>
              <c:strCache>
                <c:ptCount val="27"/>
                <c:pt idx="0">
                  <c:v>Hrvatska</c:v>
                </c:pt>
                <c:pt idx="1">
                  <c:v>Njemačka</c:v>
                </c:pt>
                <c:pt idx="2">
                  <c:v>Kina</c:v>
                </c:pt>
                <c:pt idx="3">
                  <c:v>Italija</c:v>
                </c:pt>
                <c:pt idx="4">
                  <c:v>Austrija</c:v>
                </c:pt>
                <c:pt idx="5">
                  <c:v>Turska</c:v>
                </c:pt>
                <c:pt idx="6">
                  <c:v>Bugarska</c:v>
                </c:pt>
                <c:pt idx="7">
                  <c:v>Makedonija</c:v>
                </c:pt>
                <c:pt idx="8">
                  <c:v>Švicarska</c:v>
                </c:pt>
                <c:pt idx="9">
                  <c:v>Kosovo</c:v>
                </c:pt>
                <c:pt idx="10">
                  <c:v>Srbija </c:v>
                </c:pt>
                <c:pt idx="11">
                  <c:v>Grčka</c:v>
                </c:pt>
                <c:pt idx="12">
                  <c:v>Slovenija</c:v>
                </c:pt>
                <c:pt idx="13">
                  <c:v>Belgija</c:v>
                </c:pt>
                <c:pt idx="14">
                  <c:v>Francuska</c:v>
                </c:pt>
                <c:pt idx="15">
                  <c:v>Norveška</c:v>
                </c:pt>
                <c:pt idx="16">
                  <c:v>Bosna i Hercegovina</c:v>
                </c:pt>
                <c:pt idx="17">
                  <c:v>Češka</c:v>
                </c:pt>
                <c:pt idx="18">
                  <c:v>Rumunjska </c:v>
                </c:pt>
                <c:pt idx="19">
                  <c:v>Portugal</c:v>
                </c:pt>
                <c:pt idx="20">
                  <c:v>Danska</c:v>
                </c:pt>
                <c:pt idx="21">
                  <c:v>Ostale azijske zemlje</c:v>
                </c:pt>
                <c:pt idx="22">
                  <c:v>Albanija</c:v>
                </c:pt>
                <c:pt idx="23">
                  <c:v>Indija</c:v>
                </c:pt>
                <c:pt idx="24">
                  <c:v>Maroko</c:v>
                </c:pt>
                <c:pt idx="25">
                  <c:v>Poljska</c:v>
                </c:pt>
                <c:pt idx="26">
                  <c:v>Španjolska</c:v>
                </c:pt>
              </c:strCache>
            </c:strRef>
          </c:cat>
          <c:val>
            <c:numRef>
              <c:f>List1!$B$2:$B$28</c:f>
              <c:numCache>
                <c:formatCode>General</c:formatCode>
                <c:ptCount val="27"/>
                <c:pt idx="0">
                  <c:v>281</c:v>
                </c:pt>
                <c:pt idx="1">
                  <c:v>58</c:v>
                </c:pt>
                <c:pt idx="2">
                  <c:v>7</c:v>
                </c:pt>
                <c:pt idx="3">
                  <c:v>29</c:v>
                </c:pt>
                <c:pt idx="4">
                  <c:v>9</c:v>
                </c:pt>
                <c:pt idx="5">
                  <c:v>15</c:v>
                </c:pt>
                <c:pt idx="6">
                  <c:v>12</c:v>
                </c:pt>
                <c:pt idx="7">
                  <c:v>13</c:v>
                </c:pt>
                <c:pt idx="8">
                  <c:v>16</c:v>
                </c:pt>
                <c:pt idx="9">
                  <c:v>13</c:v>
                </c:pt>
                <c:pt idx="10">
                  <c:v>14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4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B-4313-9DA8-6C6EDF84F64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Noćenja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List1!$A$2:$A$28</c:f>
              <c:strCache>
                <c:ptCount val="27"/>
                <c:pt idx="0">
                  <c:v>Hrvatska</c:v>
                </c:pt>
                <c:pt idx="1">
                  <c:v>Njemačka</c:v>
                </c:pt>
                <c:pt idx="2">
                  <c:v>Kina</c:v>
                </c:pt>
                <c:pt idx="3">
                  <c:v>Italija</c:v>
                </c:pt>
                <c:pt idx="4">
                  <c:v>Austrija</c:v>
                </c:pt>
                <c:pt idx="5">
                  <c:v>Turska</c:v>
                </c:pt>
                <c:pt idx="6">
                  <c:v>Bugarska</c:v>
                </c:pt>
                <c:pt idx="7">
                  <c:v>Makedonija</c:v>
                </c:pt>
                <c:pt idx="8">
                  <c:v>Švicarska</c:v>
                </c:pt>
                <c:pt idx="9">
                  <c:v>Kosovo</c:v>
                </c:pt>
                <c:pt idx="10">
                  <c:v>Srbija </c:v>
                </c:pt>
                <c:pt idx="11">
                  <c:v>Grčka</c:v>
                </c:pt>
                <c:pt idx="12">
                  <c:v>Slovenija</c:v>
                </c:pt>
                <c:pt idx="13">
                  <c:v>Belgija</c:v>
                </c:pt>
                <c:pt idx="14">
                  <c:v>Francuska</c:v>
                </c:pt>
                <c:pt idx="15">
                  <c:v>Norveška</c:v>
                </c:pt>
                <c:pt idx="16">
                  <c:v>Bosna i Hercegovina</c:v>
                </c:pt>
                <c:pt idx="17">
                  <c:v>Češka</c:v>
                </c:pt>
                <c:pt idx="18">
                  <c:v>Rumunjska </c:v>
                </c:pt>
                <c:pt idx="19">
                  <c:v>Portugal</c:v>
                </c:pt>
                <c:pt idx="20">
                  <c:v>Danska</c:v>
                </c:pt>
                <c:pt idx="21">
                  <c:v>Ostale azijske zemlje</c:v>
                </c:pt>
                <c:pt idx="22">
                  <c:v>Albanija</c:v>
                </c:pt>
                <c:pt idx="23">
                  <c:v>Indija</c:v>
                </c:pt>
                <c:pt idx="24">
                  <c:v>Maroko</c:v>
                </c:pt>
                <c:pt idx="25">
                  <c:v>Poljska</c:v>
                </c:pt>
                <c:pt idx="26">
                  <c:v>Španjolska</c:v>
                </c:pt>
              </c:strCache>
            </c:strRef>
          </c:cat>
          <c:val>
            <c:numRef>
              <c:f>List1!$C$2:$C$28</c:f>
              <c:numCache>
                <c:formatCode>General</c:formatCode>
                <c:ptCount val="27"/>
                <c:pt idx="0">
                  <c:v>850</c:v>
                </c:pt>
                <c:pt idx="1">
                  <c:v>152</c:v>
                </c:pt>
                <c:pt idx="2">
                  <c:v>46</c:v>
                </c:pt>
                <c:pt idx="3">
                  <c:v>31</c:v>
                </c:pt>
                <c:pt idx="4">
                  <c:v>23</c:v>
                </c:pt>
                <c:pt idx="5">
                  <c:v>23</c:v>
                </c:pt>
                <c:pt idx="6">
                  <c:v>21</c:v>
                </c:pt>
                <c:pt idx="7">
                  <c:v>17</c:v>
                </c:pt>
                <c:pt idx="8">
                  <c:v>16</c:v>
                </c:pt>
                <c:pt idx="9">
                  <c:v>15</c:v>
                </c:pt>
                <c:pt idx="10">
                  <c:v>14</c:v>
                </c:pt>
                <c:pt idx="11">
                  <c:v>13</c:v>
                </c:pt>
                <c:pt idx="12">
                  <c:v>13</c:v>
                </c:pt>
                <c:pt idx="13">
                  <c:v>8</c:v>
                </c:pt>
                <c:pt idx="14">
                  <c:v>8</c:v>
                </c:pt>
                <c:pt idx="15">
                  <c:v>7</c:v>
                </c:pt>
                <c:pt idx="16">
                  <c:v>6</c:v>
                </c:pt>
                <c:pt idx="17">
                  <c:v>6</c:v>
                </c:pt>
                <c:pt idx="18">
                  <c:v>4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5B-4313-9DA8-6C6EDF84F6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7009872"/>
        <c:axId val="757001136"/>
      </c:barChart>
      <c:catAx>
        <c:axId val="75700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57001136"/>
        <c:crosses val="autoZero"/>
        <c:auto val="1"/>
        <c:lblAlgn val="ctr"/>
        <c:lblOffset val="100"/>
        <c:noMultiLvlLbl val="0"/>
      </c:catAx>
      <c:valAx>
        <c:axId val="75700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5700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1537-7732-4E41-BCCD-9F2599AF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Šarkić</dc:creator>
  <cp:keywords/>
  <dc:description/>
  <cp:lastModifiedBy>Općina  Nijemci</cp:lastModifiedBy>
  <cp:revision>10</cp:revision>
  <cp:lastPrinted>2022-03-15T13:47:00Z</cp:lastPrinted>
  <dcterms:created xsi:type="dcterms:W3CDTF">2022-03-13T19:01:00Z</dcterms:created>
  <dcterms:modified xsi:type="dcterms:W3CDTF">2022-03-15T13:47:00Z</dcterms:modified>
</cp:coreProperties>
</file>